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6B" w:rsidRDefault="00DC066B" w:rsidP="00DC066B">
      <w:pPr>
        <w:pStyle w:val="a3"/>
      </w:pPr>
      <w:r w:rsidRPr="00082290">
        <w:rPr>
          <w:noProof/>
        </w:rPr>
        <w:drawing>
          <wp:inline distT="0" distB="0" distL="0" distR="0">
            <wp:extent cx="1981200" cy="733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</w:p>
    <w:p w:rsidR="00DC066B" w:rsidRDefault="00DC066B" w:rsidP="00DC066B">
      <w:pPr>
        <w:pStyle w:val="a3"/>
      </w:pPr>
      <w:r>
        <w:t xml:space="preserve">                                                                                                                                                </w:t>
      </w:r>
      <w:r w:rsidRPr="00A17C38">
        <w:rPr>
          <w:rFonts w:ascii="Segoe UI" w:hAnsi="Segoe UI" w:cs="Segoe UI"/>
          <w:b/>
          <w:bCs/>
          <w:noProof/>
          <w:sz w:val="32"/>
          <w:szCs w:val="32"/>
          <w:lang w:eastAsia="sk-SK"/>
        </w:rPr>
        <w:t>ПРЕСС-РЕЛИЗ</w:t>
      </w:r>
    </w:p>
    <w:p w:rsidR="00DC066B" w:rsidRDefault="00DC066B" w:rsidP="00DC066B">
      <w:pPr>
        <w:pStyle w:val="a3"/>
      </w:pPr>
    </w:p>
    <w:p w:rsidR="00DC066B" w:rsidRPr="008E2896" w:rsidRDefault="00DC066B" w:rsidP="00DC066B">
      <w:pPr>
        <w:jc w:val="right"/>
        <w:rPr>
          <w:rFonts w:ascii="Segoe UI" w:hAnsi="Segoe UI" w:cs="Segoe UI"/>
          <w:b/>
          <w:bCs/>
          <w:noProof/>
          <w:sz w:val="16"/>
          <w:szCs w:val="16"/>
          <w:lang w:eastAsia="sk-SK"/>
        </w:rPr>
      </w:pPr>
      <w:r w:rsidRPr="008E2896">
        <w:rPr>
          <w:rFonts w:ascii="Segoe UI" w:hAnsi="Segoe UI" w:cs="Segoe UI"/>
          <w:b/>
          <w:bCs/>
          <w:noProof/>
          <w:sz w:val="16"/>
          <w:szCs w:val="16"/>
          <w:lang w:eastAsia="sk-SK"/>
        </w:rPr>
        <w:t xml:space="preserve">УПРАВЛЕНИЯ ФЕДЕРАЛЬНОЙ СЛУЖБЫ ГОСУДАРСТВЕННОЙ РЕГИСТРАЦИИ, </w:t>
      </w:r>
    </w:p>
    <w:p w:rsidR="00DC066B" w:rsidRPr="006226C7" w:rsidRDefault="00DC066B" w:rsidP="00DC066B">
      <w:pPr>
        <w:pStyle w:val="2"/>
        <w:spacing w:before="0" w:after="0"/>
        <w:jc w:val="right"/>
        <w:rPr>
          <w:rFonts w:ascii="Segoe UI" w:hAnsi="Segoe UI" w:cs="Segoe UI"/>
          <w:bCs w:val="0"/>
          <w:noProof/>
          <w:sz w:val="16"/>
          <w:szCs w:val="16"/>
          <w:lang w:eastAsia="sk-SK"/>
        </w:rPr>
      </w:pPr>
      <w:r w:rsidRPr="008E2896">
        <w:rPr>
          <w:rFonts w:ascii="Segoe UI" w:hAnsi="Segoe UI" w:cs="Segoe UI"/>
          <w:bCs w:val="0"/>
          <w:i w:val="0"/>
          <w:noProof/>
          <w:sz w:val="16"/>
          <w:szCs w:val="16"/>
          <w:lang w:eastAsia="sk-SK"/>
        </w:rPr>
        <w:t>КАДАСТРА И КАРТОГРАФИИ ПО БЕЛГОРОДСКОЙ ОБЛАСТИ</w:t>
      </w:r>
    </w:p>
    <w:p w:rsidR="00DC066B" w:rsidRDefault="00DC066B" w:rsidP="00DC066B">
      <w:pPr>
        <w:rPr>
          <w:rStyle w:val="a5"/>
          <w:i w:val="0"/>
          <w:color w:val="0000FF"/>
          <w:sz w:val="28"/>
        </w:rPr>
      </w:pPr>
    </w:p>
    <w:p w:rsidR="00DC066B" w:rsidRDefault="00DC066B" w:rsidP="00DC066B">
      <w:pPr>
        <w:rPr>
          <w:b/>
          <w:color w:val="1C82D6"/>
          <w:sz w:val="32"/>
          <w:szCs w:val="28"/>
        </w:rPr>
      </w:pPr>
    </w:p>
    <w:p w:rsidR="007A456E" w:rsidRPr="006B0E0B" w:rsidRDefault="00DC066B" w:rsidP="006B0E0B">
      <w:pPr>
        <w:jc w:val="center"/>
        <w:rPr>
          <w:b/>
          <w:color w:val="1C82D6"/>
          <w:sz w:val="32"/>
          <w:szCs w:val="30"/>
        </w:rPr>
      </w:pPr>
      <w:bookmarkStart w:id="0" w:name="_GoBack"/>
      <w:r w:rsidRPr="006B0E0B">
        <w:rPr>
          <w:b/>
          <w:color w:val="1C82D6"/>
          <w:sz w:val="32"/>
          <w:szCs w:val="30"/>
        </w:rPr>
        <w:t xml:space="preserve">В Управлении </w:t>
      </w:r>
      <w:proofErr w:type="spellStart"/>
      <w:r w:rsidRPr="006B0E0B">
        <w:rPr>
          <w:b/>
          <w:color w:val="1C82D6"/>
          <w:sz w:val="32"/>
          <w:szCs w:val="30"/>
        </w:rPr>
        <w:t>Росреестра</w:t>
      </w:r>
      <w:proofErr w:type="spellEnd"/>
      <w:r w:rsidRPr="006B0E0B">
        <w:rPr>
          <w:b/>
          <w:color w:val="1C82D6"/>
          <w:sz w:val="32"/>
          <w:szCs w:val="30"/>
        </w:rPr>
        <w:t xml:space="preserve"> по Белгородской области </w:t>
      </w:r>
      <w:r w:rsidR="006B0E0B" w:rsidRPr="006B0E0B">
        <w:rPr>
          <w:b/>
          <w:color w:val="1C82D6"/>
          <w:sz w:val="32"/>
          <w:szCs w:val="30"/>
        </w:rPr>
        <w:t>рассказали</w:t>
      </w:r>
      <w:r w:rsidR="006B0E0B">
        <w:rPr>
          <w:b/>
          <w:color w:val="1C82D6"/>
          <w:sz w:val="32"/>
          <w:szCs w:val="30"/>
        </w:rPr>
        <w:t xml:space="preserve"> </w:t>
      </w:r>
      <w:r w:rsidR="00D94F31">
        <w:rPr>
          <w:b/>
          <w:color w:val="1C82D6"/>
          <w:sz w:val="32"/>
          <w:szCs w:val="30"/>
        </w:rPr>
        <w:t xml:space="preserve">про исправление реестровых ошибок в рамках программы </w:t>
      </w:r>
      <w:r w:rsidR="00D94F31" w:rsidRPr="00D94F31">
        <w:rPr>
          <w:b/>
          <w:color w:val="1C82D6"/>
          <w:sz w:val="32"/>
          <w:szCs w:val="30"/>
        </w:rPr>
        <w:t>«Национальная система пространственных данных»</w:t>
      </w:r>
      <w:r w:rsidR="00D94F31">
        <w:rPr>
          <w:b/>
          <w:color w:val="1C82D6"/>
          <w:sz w:val="32"/>
          <w:szCs w:val="30"/>
        </w:rPr>
        <w:t xml:space="preserve"> </w:t>
      </w:r>
    </w:p>
    <w:bookmarkEnd w:id="0"/>
    <w:p w:rsidR="007A456E" w:rsidRDefault="007A456E" w:rsidP="007233C4">
      <w:pPr>
        <w:ind w:firstLine="851"/>
        <w:jc w:val="both"/>
        <w:rPr>
          <w:sz w:val="28"/>
          <w:szCs w:val="30"/>
        </w:rPr>
      </w:pPr>
    </w:p>
    <w:p w:rsidR="00F71A90" w:rsidRPr="0084217E" w:rsidRDefault="00422620" w:rsidP="0092019C">
      <w:pPr>
        <w:ind w:firstLine="851"/>
        <w:jc w:val="both"/>
      </w:pPr>
      <w:r w:rsidRPr="0084217E">
        <w:t xml:space="preserve">В рамках реализации государственной программы «Национальная система пространственных данных» </w:t>
      </w:r>
      <w:r w:rsidR="00F03BD9" w:rsidRPr="0084217E">
        <w:t xml:space="preserve">региональный </w:t>
      </w:r>
      <w:proofErr w:type="spellStart"/>
      <w:r w:rsidRPr="0084217E">
        <w:t>Росреестр</w:t>
      </w:r>
      <w:proofErr w:type="spellEnd"/>
      <w:r w:rsidRPr="0084217E">
        <w:t xml:space="preserve"> совместно с </w:t>
      </w:r>
      <w:r w:rsidR="00F03BD9" w:rsidRPr="0084217E">
        <w:t>филиалом публично-правовой компании «</w:t>
      </w:r>
      <w:proofErr w:type="spellStart"/>
      <w:r w:rsidR="00F03BD9" w:rsidRPr="0084217E">
        <w:t>Роскадастр</w:t>
      </w:r>
      <w:proofErr w:type="spellEnd"/>
      <w:r w:rsidR="00F03BD9" w:rsidRPr="0084217E">
        <w:t>» по Белгородской области на постоянной основе</w:t>
      </w:r>
      <w:r w:rsidRPr="0084217E">
        <w:t xml:space="preserve"> </w:t>
      </w:r>
      <w:r w:rsidR="00F03BD9" w:rsidRPr="0084217E">
        <w:t>проводит работу по</w:t>
      </w:r>
      <w:r w:rsidRPr="0084217E">
        <w:t xml:space="preserve"> исправлению реестровых ошибок в сведениях Единого государственног</w:t>
      </w:r>
      <w:r w:rsidR="00F03BD9" w:rsidRPr="0084217E">
        <w:t>о реестра недвижимости (ЕГРН)</w:t>
      </w:r>
      <w:r w:rsidRPr="0084217E">
        <w:t>.</w:t>
      </w:r>
      <w:r w:rsidR="00F03BD9" w:rsidRPr="0084217E">
        <w:t xml:space="preserve"> </w:t>
      </w:r>
    </w:p>
    <w:p w:rsidR="009B335C" w:rsidRPr="0084217E" w:rsidRDefault="00F03BD9" w:rsidP="0092019C">
      <w:pPr>
        <w:ind w:firstLine="851"/>
        <w:jc w:val="both"/>
      </w:pPr>
      <w:r w:rsidRPr="0084217E">
        <w:t>Реестровая ошибка – это воспроизведенная в ЕГРН ошибка, содержащаяся 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работы, или ошибка, содержащаяся в документах, направленных или представленных в орган регистрации прав иными лицами и (или) органами в порядке информационного взаимодействия</w:t>
      </w:r>
      <w:r w:rsidR="0010418A" w:rsidRPr="0084217E">
        <w:t xml:space="preserve">, а также в ином порядке, установленном Федеральным законом от 13.07.2015 № 218-ФЗ «О государственной регистрации недвижимости». </w:t>
      </w:r>
    </w:p>
    <w:p w:rsidR="00F71A90" w:rsidRPr="0084217E" w:rsidRDefault="009B335C" w:rsidP="0092019C">
      <w:pPr>
        <w:ind w:firstLine="851"/>
        <w:jc w:val="both"/>
      </w:pPr>
      <w:r w:rsidRPr="0084217E">
        <w:t xml:space="preserve">По словам </w:t>
      </w:r>
      <w:proofErr w:type="spellStart"/>
      <w:r w:rsidR="00F71A90" w:rsidRPr="00444E23">
        <w:rPr>
          <w:b/>
        </w:rPr>
        <w:t>и.о</w:t>
      </w:r>
      <w:proofErr w:type="spellEnd"/>
      <w:r w:rsidR="00F71A90" w:rsidRPr="00444E23">
        <w:rPr>
          <w:b/>
        </w:rPr>
        <w:t xml:space="preserve">. </w:t>
      </w:r>
      <w:r w:rsidRPr="00444E23">
        <w:rPr>
          <w:b/>
        </w:rPr>
        <w:t xml:space="preserve">заместителя руководителя Управления </w:t>
      </w:r>
      <w:proofErr w:type="spellStart"/>
      <w:r w:rsidRPr="00444E23">
        <w:rPr>
          <w:b/>
        </w:rPr>
        <w:t>Росреестра</w:t>
      </w:r>
      <w:proofErr w:type="spellEnd"/>
      <w:r w:rsidRPr="00444E23">
        <w:rPr>
          <w:b/>
        </w:rPr>
        <w:t xml:space="preserve"> по Белгородской области </w:t>
      </w:r>
      <w:r w:rsidR="00F71A90" w:rsidRPr="00444E23">
        <w:rPr>
          <w:b/>
        </w:rPr>
        <w:t>Екатерины Репиной</w:t>
      </w:r>
      <w:r w:rsidRPr="0084217E">
        <w:t xml:space="preserve">, </w:t>
      </w:r>
      <w:r w:rsidR="00F71A90" w:rsidRPr="0084217E">
        <w:t>порядок исправления ошибок, содержащихся в ЕГРН</w:t>
      </w:r>
      <w:r w:rsidR="00444E23">
        <w:t>,</w:t>
      </w:r>
      <w:r w:rsidR="00F71A90" w:rsidRPr="0084217E">
        <w:t xml:space="preserve"> установл</w:t>
      </w:r>
      <w:r w:rsidR="00444E23">
        <w:t>ен ст. 61 Закона о регистрации</w:t>
      </w:r>
      <w:r w:rsidR="00F71A90" w:rsidRPr="0084217E">
        <w:t xml:space="preserve"> в соответствии с указанной нормой предусмотрены три варианта исправления реестровых ошибок: </w:t>
      </w:r>
    </w:p>
    <w:p w:rsidR="00F71A90" w:rsidRPr="0084217E" w:rsidRDefault="00F71A90" w:rsidP="0092019C">
      <w:pPr>
        <w:ind w:firstLine="851"/>
        <w:jc w:val="both"/>
      </w:pPr>
      <w:r w:rsidRPr="0084217E">
        <w:t xml:space="preserve">– путем формирования межевого или технического плана; </w:t>
      </w:r>
    </w:p>
    <w:p w:rsidR="00F71A90" w:rsidRPr="0084217E" w:rsidRDefault="00F71A90" w:rsidP="0092019C">
      <w:pPr>
        <w:ind w:firstLine="851"/>
        <w:jc w:val="both"/>
      </w:pPr>
      <w:r w:rsidRPr="0084217E">
        <w:t>– в порядке информационного взаимодействия</w:t>
      </w:r>
      <w:r w:rsidR="003C1B58" w:rsidRPr="0084217E">
        <w:t xml:space="preserve"> с органами государственной власти и местного самоуправления</w:t>
      </w:r>
      <w:r w:rsidRPr="0084217E">
        <w:t xml:space="preserve">; </w:t>
      </w:r>
    </w:p>
    <w:p w:rsidR="00F71A90" w:rsidRPr="0084217E" w:rsidRDefault="00F71A90" w:rsidP="0092019C">
      <w:pPr>
        <w:ind w:firstLine="851"/>
        <w:jc w:val="both"/>
      </w:pPr>
      <w:r w:rsidRPr="0084217E">
        <w:t>– на основании вступившего в законную силу решения суда об исправлении такой ошибки (вне зависимости от причин ее возникновения).</w:t>
      </w:r>
    </w:p>
    <w:p w:rsidR="00F71A90" w:rsidRPr="0084217E" w:rsidRDefault="005A31DA" w:rsidP="0092019C">
      <w:pPr>
        <w:ind w:firstLine="851"/>
        <w:jc w:val="both"/>
      </w:pPr>
      <w:r w:rsidRPr="0084217E">
        <w:t>Стоит отметить, что с</w:t>
      </w:r>
      <w:r w:rsidR="00F71A90" w:rsidRPr="0084217E">
        <w:t>огласно ч</w:t>
      </w:r>
      <w:r w:rsidRPr="0084217E">
        <w:t>.</w:t>
      </w:r>
      <w:r w:rsidR="00F71A90" w:rsidRPr="0084217E">
        <w:t xml:space="preserve"> 6 ст</w:t>
      </w:r>
      <w:r w:rsidRPr="0084217E">
        <w:t>.</w:t>
      </w:r>
      <w:r w:rsidR="00F71A90" w:rsidRPr="0084217E">
        <w:t xml:space="preserve"> 61 Закона о регистрации орган регистрации прав при обнаружении реестровой ошибки в описании местоположения границ земельных участков принимает решение о необходимости устранения такой ошибки, которое должно содержать дату выявления такой ошибки, ее описание с обоснованием квалификации соответствующих сведений как ошибочных, а также указание, в чем состоит необходимость исправления такой ошибки.</w:t>
      </w:r>
    </w:p>
    <w:p w:rsidR="00F71A90" w:rsidRPr="0084217E" w:rsidRDefault="00F71A90" w:rsidP="0092019C">
      <w:pPr>
        <w:ind w:firstLine="851"/>
        <w:jc w:val="both"/>
      </w:pPr>
      <w:r w:rsidRPr="0084217E">
        <w:t xml:space="preserve">В соответствии с ч. 7 ст. 61 Закона о регистрации по истечении трех месяцев со дня направления указанным в ч. 6 ст. 61 Закона о регистрации лицам решения о необходимости устранения реестровой ошибки в сведениях ЕГРН о местоположении границ земельного участка и при </w:t>
      </w:r>
      <w:proofErr w:type="spellStart"/>
      <w:r w:rsidRPr="0084217E">
        <w:t>непоступлении</w:t>
      </w:r>
      <w:proofErr w:type="spellEnd"/>
      <w:r w:rsidRPr="0084217E">
        <w:t xml:space="preserve"> документов, на основании которых обеспечивается устранение данной реестровой ошибки, орган регистрации прав вносит изменения в сведения ЕГРН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документов, материалов и соблюдении установленных </w:t>
      </w:r>
      <w:r w:rsidR="00062142">
        <w:t xml:space="preserve">                                 </w:t>
      </w:r>
      <w:r w:rsidRPr="0084217E">
        <w:t>ст. 61 Закона о регистрации условий.</w:t>
      </w:r>
    </w:p>
    <w:p w:rsidR="007A456E" w:rsidRPr="00062142" w:rsidRDefault="00F03BD9" w:rsidP="0092019C">
      <w:pPr>
        <w:ind w:firstLine="851"/>
        <w:jc w:val="both"/>
        <w:rPr>
          <w:b/>
        </w:rPr>
      </w:pPr>
      <w:r w:rsidRPr="0084217E">
        <w:lastRenderedPageBreak/>
        <w:t xml:space="preserve">«Работа по исключению неточностей </w:t>
      </w:r>
      <w:r w:rsidR="009B335C" w:rsidRPr="0084217E">
        <w:t>в</w:t>
      </w:r>
      <w:r w:rsidRPr="0084217E">
        <w:t xml:space="preserve"> Е</w:t>
      </w:r>
      <w:r w:rsidR="009B335C" w:rsidRPr="0084217E">
        <w:t>дином государственном</w:t>
      </w:r>
      <w:r w:rsidR="00DB3300" w:rsidRPr="0084217E">
        <w:t xml:space="preserve"> реестр</w:t>
      </w:r>
      <w:r w:rsidR="009B335C" w:rsidRPr="0084217E">
        <w:t>е</w:t>
      </w:r>
      <w:r w:rsidR="00DB3300" w:rsidRPr="0084217E">
        <w:t xml:space="preserve"> недвижимости</w:t>
      </w:r>
      <w:r w:rsidRPr="0084217E">
        <w:t xml:space="preserve"> нап</w:t>
      </w:r>
      <w:r w:rsidR="009B335C" w:rsidRPr="0084217E">
        <w:t xml:space="preserve">равлена на повышение качества, а также </w:t>
      </w:r>
      <w:r w:rsidRPr="0084217E">
        <w:t xml:space="preserve">полноты сведений об </w:t>
      </w:r>
      <w:r w:rsidR="009B335C" w:rsidRPr="0084217E">
        <w:t xml:space="preserve">объектах недвижимого имущества и </w:t>
      </w:r>
      <w:r w:rsidRPr="0084217E">
        <w:t xml:space="preserve">является одним из важнейших направлений деятельности </w:t>
      </w:r>
      <w:proofErr w:type="spellStart"/>
      <w:r w:rsidRPr="0084217E">
        <w:t>Росреестра</w:t>
      </w:r>
      <w:proofErr w:type="spellEnd"/>
      <w:r w:rsidRPr="0084217E">
        <w:t xml:space="preserve">», - </w:t>
      </w:r>
      <w:r w:rsidR="00C448A1" w:rsidRPr="0084217E">
        <w:t xml:space="preserve">прокомментировала </w:t>
      </w:r>
      <w:r w:rsidR="00C448A1" w:rsidRPr="00062142">
        <w:rPr>
          <w:b/>
        </w:rPr>
        <w:t xml:space="preserve">заместитель министра имущественных и земельных отношений Белгородской области, начальник департамента земельных ресурсов Янина </w:t>
      </w:r>
      <w:proofErr w:type="spellStart"/>
      <w:r w:rsidR="00C448A1" w:rsidRPr="00062142">
        <w:rPr>
          <w:b/>
        </w:rPr>
        <w:t>Пойминова</w:t>
      </w:r>
      <w:proofErr w:type="spellEnd"/>
      <w:r w:rsidR="00C448A1" w:rsidRPr="00062142">
        <w:rPr>
          <w:b/>
        </w:rPr>
        <w:t>.</w:t>
      </w:r>
    </w:p>
    <w:p w:rsidR="007A456E" w:rsidRPr="0084217E" w:rsidRDefault="007A456E" w:rsidP="0092019C">
      <w:pPr>
        <w:ind w:firstLine="851"/>
        <w:jc w:val="both"/>
      </w:pPr>
      <w:r w:rsidRPr="0084217E">
        <w:t>Отметим, что Управлением совместно с филиалом публично-правовой компании «</w:t>
      </w:r>
      <w:proofErr w:type="spellStart"/>
      <w:r w:rsidRPr="0084217E">
        <w:t>Роскадастр</w:t>
      </w:r>
      <w:proofErr w:type="spellEnd"/>
      <w:r w:rsidRPr="0084217E">
        <w:t xml:space="preserve">» по Белгородской области в 2022 году исправлено более 1000 реестровых ошибок в сведениях ЕГРН. На 2023 год перед региональным ведомством поставлена задача по исправлению 1125 реестровых ошибок. </w:t>
      </w:r>
    </w:p>
    <w:p w:rsidR="007A456E" w:rsidRDefault="007A456E" w:rsidP="007A456E">
      <w:pPr>
        <w:ind w:firstLine="851"/>
        <w:jc w:val="both"/>
        <w:rPr>
          <w:sz w:val="28"/>
          <w:szCs w:val="30"/>
        </w:rPr>
      </w:pPr>
    </w:p>
    <w:p w:rsidR="00DC066B" w:rsidRDefault="00DC066B" w:rsidP="006B0E0B">
      <w:pPr>
        <w:rPr>
          <w:b/>
          <w:color w:val="1C82D6"/>
          <w:sz w:val="32"/>
          <w:szCs w:val="30"/>
        </w:rPr>
      </w:pPr>
    </w:p>
    <w:p w:rsidR="007233C4" w:rsidRDefault="007233C4" w:rsidP="00DC066B">
      <w:pPr>
        <w:jc w:val="center"/>
        <w:rPr>
          <w:b/>
          <w:color w:val="1C82D6"/>
          <w:sz w:val="32"/>
          <w:szCs w:val="30"/>
        </w:rPr>
      </w:pPr>
    </w:p>
    <w:p w:rsidR="00DC066B" w:rsidRPr="00576314" w:rsidRDefault="00911EB0" w:rsidP="00DC066B">
      <w:pPr>
        <w:jc w:val="both"/>
        <w:rPr>
          <w:b/>
          <w:color w:val="1C82D6"/>
          <w:sz w:val="28"/>
          <w:szCs w:val="30"/>
        </w:rPr>
      </w:pPr>
      <w:hyperlink r:id="rId7" w:history="1">
        <w:r w:rsidR="00576314" w:rsidRPr="00576314">
          <w:rPr>
            <w:rStyle w:val="a8"/>
            <w:b/>
            <w:sz w:val="28"/>
            <w:szCs w:val="30"/>
          </w:rPr>
          <w:t>https://rosreestr.gov.ru/press/archive/v-upravlenii-rosreestra-po-belgorodskoy-oblasti-rasskazali-pro-ispravlenie-reestrovykh-oshibok-v-ram/</w:t>
        </w:r>
      </w:hyperlink>
      <w:r w:rsidR="00576314" w:rsidRPr="00576314">
        <w:rPr>
          <w:b/>
          <w:color w:val="1C82D6"/>
          <w:sz w:val="28"/>
          <w:szCs w:val="30"/>
        </w:rPr>
        <w:t xml:space="preserve"> </w:t>
      </w:r>
    </w:p>
    <w:p w:rsidR="00DC066B" w:rsidRPr="00576314" w:rsidRDefault="00DC066B" w:rsidP="00DC066B">
      <w:pPr>
        <w:jc w:val="both"/>
        <w:rPr>
          <w:b/>
          <w:color w:val="1C82D6"/>
          <w:sz w:val="28"/>
          <w:szCs w:val="30"/>
        </w:rPr>
      </w:pPr>
    </w:p>
    <w:p w:rsidR="00DB3300" w:rsidRDefault="00DB3300" w:rsidP="00DC066B">
      <w:pPr>
        <w:jc w:val="both"/>
        <w:rPr>
          <w:b/>
          <w:color w:val="1C82D6"/>
          <w:sz w:val="32"/>
          <w:szCs w:val="30"/>
        </w:rPr>
      </w:pPr>
    </w:p>
    <w:p w:rsidR="00DB3300" w:rsidRDefault="00DB3300" w:rsidP="00DC066B">
      <w:pPr>
        <w:jc w:val="both"/>
        <w:rPr>
          <w:b/>
          <w:color w:val="1C82D6"/>
          <w:sz w:val="32"/>
          <w:szCs w:val="30"/>
        </w:rPr>
      </w:pPr>
    </w:p>
    <w:p w:rsidR="00DC066B" w:rsidRDefault="00DC066B" w:rsidP="00DC066B">
      <w:pPr>
        <w:jc w:val="both"/>
        <w:rPr>
          <w:b/>
          <w:color w:val="1C82D6"/>
          <w:sz w:val="32"/>
          <w:szCs w:val="30"/>
        </w:rPr>
      </w:pPr>
    </w:p>
    <w:p w:rsidR="00DC066B" w:rsidRDefault="00DC066B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84217E" w:rsidRDefault="0084217E" w:rsidP="00DC066B">
      <w:pPr>
        <w:jc w:val="both"/>
        <w:rPr>
          <w:b/>
          <w:color w:val="1C82D6"/>
          <w:sz w:val="32"/>
          <w:szCs w:val="30"/>
        </w:rPr>
      </w:pPr>
    </w:p>
    <w:p w:rsidR="006B0E0B" w:rsidRDefault="006B0E0B" w:rsidP="00DC066B">
      <w:pPr>
        <w:jc w:val="both"/>
        <w:rPr>
          <w:b/>
          <w:color w:val="1C82D6"/>
          <w:sz w:val="32"/>
          <w:szCs w:val="30"/>
        </w:rPr>
      </w:pPr>
    </w:p>
    <w:p w:rsidR="006B0E0B" w:rsidRDefault="006B0E0B" w:rsidP="00DC066B">
      <w:pPr>
        <w:jc w:val="both"/>
        <w:rPr>
          <w:b/>
          <w:color w:val="1C82D6"/>
          <w:sz w:val="32"/>
          <w:szCs w:val="30"/>
        </w:rPr>
      </w:pPr>
    </w:p>
    <w:p w:rsidR="00DC066B" w:rsidRPr="00E70945" w:rsidRDefault="00DC066B" w:rsidP="00DC066B">
      <w:pPr>
        <w:jc w:val="both"/>
        <w:rPr>
          <w:b/>
          <w:sz w:val="14"/>
        </w:rPr>
      </w:pPr>
      <w:r w:rsidRPr="00E70945">
        <w:rPr>
          <w:b/>
          <w:sz w:val="16"/>
        </w:rPr>
        <w:t>Контакты для СМИ:</w:t>
      </w:r>
    </w:p>
    <w:p w:rsidR="00DC066B" w:rsidRPr="00E70945" w:rsidRDefault="00DC066B" w:rsidP="00DC066B">
      <w:pPr>
        <w:textAlignment w:val="center"/>
        <w:rPr>
          <w:rFonts w:eastAsia="Times New Roman"/>
          <w:b/>
          <w:sz w:val="14"/>
          <w:szCs w:val="16"/>
        </w:rPr>
      </w:pPr>
      <w:r w:rsidRPr="00E70945">
        <w:rPr>
          <w:rFonts w:eastAsia="Calibri"/>
          <w:bCs/>
          <w:sz w:val="14"/>
          <w:szCs w:val="16"/>
        </w:rPr>
        <w:t>Анастасия Быстрова</w:t>
      </w:r>
      <w:r w:rsidRPr="00E70945">
        <w:rPr>
          <w:rFonts w:eastAsia="Calibri"/>
          <w:b/>
          <w:sz w:val="14"/>
          <w:szCs w:val="16"/>
        </w:rPr>
        <w:t>,</w:t>
      </w:r>
    </w:p>
    <w:p w:rsidR="00DC066B" w:rsidRPr="00E70945" w:rsidRDefault="00DC066B" w:rsidP="00DC066B">
      <w:pPr>
        <w:textAlignment w:val="center"/>
        <w:rPr>
          <w:rFonts w:eastAsia="Times New Roman"/>
          <w:b/>
          <w:sz w:val="14"/>
          <w:szCs w:val="16"/>
        </w:rPr>
      </w:pPr>
      <w:r w:rsidRPr="00E70945">
        <w:rPr>
          <w:rFonts w:eastAsia="Calibri"/>
          <w:sz w:val="14"/>
          <w:szCs w:val="16"/>
        </w:rPr>
        <w:t xml:space="preserve">пресс-секретарь Управления </w:t>
      </w:r>
      <w:proofErr w:type="spellStart"/>
      <w:r w:rsidRPr="00E70945">
        <w:rPr>
          <w:rFonts w:eastAsia="Calibri"/>
          <w:sz w:val="14"/>
          <w:szCs w:val="16"/>
        </w:rPr>
        <w:t>Росреестра</w:t>
      </w:r>
      <w:proofErr w:type="spellEnd"/>
    </w:p>
    <w:p w:rsidR="00DC066B" w:rsidRPr="00E70945" w:rsidRDefault="00DC066B" w:rsidP="00DC066B">
      <w:pPr>
        <w:textAlignment w:val="center"/>
        <w:rPr>
          <w:rFonts w:eastAsia="Calibri"/>
          <w:sz w:val="14"/>
          <w:szCs w:val="16"/>
        </w:rPr>
      </w:pPr>
      <w:r w:rsidRPr="00E70945">
        <w:rPr>
          <w:rFonts w:eastAsia="Calibri"/>
          <w:sz w:val="14"/>
          <w:szCs w:val="16"/>
        </w:rPr>
        <w:t>по Белгородской области</w:t>
      </w:r>
    </w:p>
    <w:p w:rsidR="00DC066B" w:rsidRPr="00E70945" w:rsidRDefault="00DC066B" w:rsidP="00DC066B">
      <w:pPr>
        <w:textAlignment w:val="center"/>
        <w:rPr>
          <w:rFonts w:eastAsia="Calibri"/>
          <w:sz w:val="14"/>
          <w:szCs w:val="16"/>
        </w:rPr>
      </w:pPr>
      <w:r w:rsidRPr="00E70945">
        <w:rPr>
          <w:rFonts w:eastAsia="Calibri"/>
          <w:sz w:val="14"/>
          <w:szCs w:val="16"/>
        </w:rPr>
        <w:t>тел.: 8 (4722) 30-00-22 доб. 1617</w:t>
      </w:r>
    </w:p>
    <w:p w:rsidR="00DC066B" w:rsidRPr="00E70945" w:rsidRDefault="00DC066B" w:rsidP="00DC066B">
      <w:pPr>
        <w:textAlignment w:val="center"/>
        <w:rPr>
          <w:rFonts w:eastAsia="Calibri"/>
          <w:sz w:val="14"/>
          <w:szCs w:val="16"/>
        </w:rPr>
      </w:pPr>
      <w:r w:rsidRPr="00E70945">
        <w:rPr>
          <w:rFonts w:eastAsia="Calibri"/>
          <w:sz w:val="14"/>
          <w:szCs w:val="16"/>
        </w:rPr>
        <w:t>моб.: 8(910)2218898</w:t>
      </w:r>
    </w:p>
    <w:p w:rsidR="00DC066B" w:rsidRPr="00E70945" w:rsidRDefault="00DC066B" w:rsidP="00DC066B">
      <w:pPr>
        <w:textAlignment w:val="center"/>
        <w:rPr>
          <w:sz w:val="14"/>
          <w:szCs w:val="14"/>
        </w:rPr>
      </w:pPr>
      <w:proofErr w:type="spellStart"/>
      <w:r w:rsidRPr="00E70945">
        <w:rPr>
          <w:sz w:val="14"/>
          <w:szCs w:val="14"/>
          <w:lang w:val="en-US"/>
        </w:rPr>
        <w:t>BistrovaAA</w:t>
      </w:r>
      <w:proofErr w:type="spellEnd"/>
      <w:r w:rsidRPr="00E70945">
        <w:rPr>
          <w:sz w:val="14"/>
          <w:szCs w:val="14"/>
        </w:rPr>
        <w:t>@r31.rosreestr.ru</w:t>
      </w:r>
    </w:p>
    <w:p w:rsidR="00C65A6E" w:rsidRPr="00F71A90" w:rsidRDefault="00DC066B" w:rsidP="0084217E">
      <w:pPr>
        <w:textAlignment w:val="center"/>
        <w:rPr>
          <w:sz w:val="28"/>
        </w:rPr>
      </w:pPr>
      <w:r w:rsidRPr="00E70945">
        <w:rPr>
          <w:rFonts w:eastAsia="Calibri"/>
          <w:sz w:val="14"/>
          <w:szCs w:val="16"/>
        </w:rPr>
        <w:t xml:space="preserve">сайт: </w:t>
      </w:r>
      <w:hyperlink r:id="rId8" w:history="1">
        <w:r w:rsidRPr="00E70945">
          <w:rPr>
            <w:rStyle w:val="a8"/>
            <w:rFonts w:eastAsia="Calibri"/>
            <w:sz w:val="14"/>
            <w:szCs w:val="16"/>
          </w:rPr>
          <w:t>https://rosreestr.gov.ru</w:t>
        </w:r>
      </w:hyperlink>
    </w:p>
    <w:sectPr w:rsidR="00C65A6E" w:rsidRPr="00F71A90" w:rsidSect="00C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3DA6"/>
    <w:multiLevelType w:val="multilevel"/>
    <w:tmpl w:val="ABA0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646F2"/>
    <w:multiLevelType w:val="multilevel"/>
    <w:tmpl w:val="EEDE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6B"/>
    <w:rsid w:val="00062142"/>
    <w:rsid w:val="0010418A"/>
    <w:rsid w:val="003C1B58"/>
    <w:rsid w:val="00422620"/>
    <w:rsid w:val="00444E23"/>
    <w:rsid w:val="0045235F"/>
    <w:rsid w:val="0048064C"/>
    <w:rsid w:val="00491751"/>
    <w:rsid w:val="00527AD9"/>
    <w:rsid w:val="00576314"/>
    <w:rsid w:val="005A31DA"/>
    <w:rsid w:val="006B0E0B"/>
    <w:rsid w:val="007233C4"/>
    <w:rsid w:val="007A456E"/>
    <w:rsid w:val="007B19AC"/>
    <w:rsid w:val="0084217E"/>
    <w:rsid w:val="00911EB0"/>
    <w:rsid w:val="0092019C"/>
    <w:rsid w:val="009B335C"/>
    <w:rsid w:val="00A06754"/>
    <w:rsid w:val="00AB749A"/>
    <w:rsid w:val="00BF2AF8"/>
    <w:rsid w:val="00C448A1"/>
    <w:rsid w:val="00C65A6E"/>
    <w:rsid w:val="00CC3DB5"/>
    <w:rsid w:val="00D94F31"/>
    <w:rsid w:val="00DB3300"/>
    <w:rsid w:val="00DC066B"/>
    <w:rsid w:val="00F03BD9"/>
    <w:rsid w:val="00F7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6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DC066B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066B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DC0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ubtle Emphasis"/>
    <w:uiPriority w:val="19"/>
    <w:qFormat/>
    <w:rsid w:val="00DC066B"/>
    <w:rPr>
      <w:i/>
      <w:iCs/>
      <w:color w:val="808080"/>
    </w:rPr>
  </w:style>
  <w:style w:type="character" w:customStyle="1" w:styleId="a4">
    <w:name w:val="Без интервала Знак"/>
    <w:link w:val="a3"/>
    <w:uiPriority w:val="1"/>
    <w:locked/>
    <w:rsid w:val="00DC066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66B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C066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8">
    <w:name w:val="Hyperlink"/>
    <w:basedOn w:val="a0"/>
    <w:uiPriority w:val="99"/>
    <w:unhideWhenUsed/>
    <w:rsid w:val="00DC066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0675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6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DC066B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066B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DC0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ubtle Emphasis"/>
    <w:uiPriority w:val="19"/>
    <w:qFormat/>
    <w:rsid w:val="00DC066B"/>
    <w:rPr>
      <w:i/>
      <w:iCs/>
      <w:color w:val="808080"/>
    </w:rPr>
  </w:style>
  <w:style w:type="character" w:customStyle="1" w:styleId="a4">
    <w:name w:val="Без интервала Знак"/>
    <w:link w:val="a3"/>
    <w:uiPriority w:val="1"/>
    <w:locked/>
    <w:rsid w:val="00DC066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66B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C066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8">
    <w:name w:val="Hyperlink"/>
    <w:basedOn w:val="a0"/>
    <w:uiPriority w:val="99"/>
    <w:unhideWhenUsed/>
    <w:rsid w:val="00DC066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0675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5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5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79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6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3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98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257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74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1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1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566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18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824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60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249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84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425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591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078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1120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9606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2148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2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9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1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3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6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8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19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545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447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82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282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80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97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92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60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4976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366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5526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171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8914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0893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5740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5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8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81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050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450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94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21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84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173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790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719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261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149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564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582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7905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438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0377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press/archive/v-upravlenii-rosreestra-po-belgorodskoy-oblasti-rasskazali-pro-ispravlenie-reestrovykh-oshibok-v-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Бочарникова_204</cp:lastModifiedBy>
  <cp:revision>2</cp:revision>
  <cp:lastPrinted>2023-03-30T06:31:00Z</cp:lastPrinted>
  <dcterms:created xsi:type="dcterms:W3CDTF">2023-03-30T08:41:00Z</dcterms:created>
  <dcterms:modified xsi:type="dcterms:W3CDTF">2023-03-30T08:41:00Z</dcterms:modified>
</cp:coreProperties>
</file>