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C" w:rsidRDefault="0074396C" w:rsidP="0074396C">
      <w:pPr>
        <w:pStyle w:val="a3"/>
      </w:pPr>
      <w:r>
        <w:rPr>
          <w:noProof/>
          <w:lang w:eastAsia="ru-RU"/>
        </w:rPr>
        <w:drawing>
          <wp:inline distT="0" distB="0" distL="0" distR="0" wp14:anchorId="530C2A1B" wp14:editId="14B833F0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4396C" w:rsidRDefault="0074396C" w:rsidP="0074396C">
      <w:pPr>
        <w:pStyle w:val="a3"/>
      </w:pPr>
    </w:p>
    <w:p w:rsidR="0074396C" w:rsidRDefault="0074396C" w:rsidP="0074396C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4396C" w:rsidRDefault="0074396C" w:rsidP="0074396C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4396C" w:rsidRDefault="0074396C" w:rsidP="0074396C"/>
    <w:p w:rsidR="00963F5D" w:rsidRDefault="00567EFC" w:rsidP="0069682A">
      <w:pPr>
        <w:jc w:val="center"/>
        <w:rPr>
          <w:rFonts w:ascii="Times New Roman" w:hAnsi="Times New Roman" w:cs="Times New Roman"/>
          <w:b/>
          <w:color w:val="1C82D6"/>
          <w:sz w:val="32"/>
          <w:szCs w:val="29"/>
        </w:rPr>
      </w:pPr>
      <w:bookmarkStart w:id="0" w:name="_GoBack"/>
      <w:r>
        <w:rPr>
          <w:rFonts w:ascii="Times New Roman" w:hAnsi="Times New Roman" w:cs="Times New Roman"/>
          <w:b/>
          <w:color w:val="1C82D6"/>
          <w:sz w:val="32"/>
          <w:szCs w:val="29"/>
        </w:rPr>
        <w:t xml:space="preserve">В Управлении </w:t>
      </w:r>
      <w:proofErr w:type="spellStart"/>
      <w:r>
        <w:rPr>
          <w:rFonts w:ascii="Times New Roman" w:hAnsi="Times New Roman" w:cs="Times New Roman"/>
          <w:b/>
          <w:color w:val="1C82D6"/>
          <w:sz w:val="32"/>
          <w:szCs w:val="29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1C82D6"/>
          <w:sz w:val="32"/>
          <w:szCs w:val="29"/>
        </w:rPr>
        <w:t xml:space="preserve"> по Белгородской области подвели итоги работы Общественного совета за 2022 год</w:t>
      </w:r>
    </w:p>
    <w:bookmarkEnd w:id="0"/>
    <w:p w:rsidR="006F432E" w:rsidRPr="0069682A" w:rsidRDefault="00963F5D" w:rsidP="0069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2A">
        <w:rPr>
          <w:rFonts w:ascii="Times New Roman" w:hAnsi="Times New Roman" w:cs="Times New Roman"/>
          <w:sz w:val="26"/>
          <w:szCs w:val="26"/>
        </w:rPr>
        <w:t>Заседание Общественного совет состоялось 15 декабря под председательством президента Белгородской областной нотариальной палаты, нотариуса Белгородского нотариального округа И.</w:t>
      </w:r>
      <w:r w:rsidR="00885792" w:rsidRPr="0069682A">
        <w:rPr>
          <w:rFonts w:ascii="Times New Roman" w:hAnsi="Times New Roman" w:cs="Times New Roman"/>
          <w:sz w:val="26"/>
          <w:szCs w:val="26"/>
        </w:rPr>
        <w:t xml:space="preserve"> </w:t>
      </w:r>
      <w:r w:rsidRPr="0069682A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69682A">
        <w:rPr>
          <w:rFonts w:ascii="Times New Roman" w:hAnsi="Times New Roman" w:cs="Times New Roman"/>
          <w:sz w:val="26"/>
          <w:szCs w:val="26"/>
        </w:rPr>
        <w:t>Суязовой</w:t>
      </w:r>
      <w:proofErr w:type="spellEnd"/>
      <w:r w:rsidRPr="006968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13AB" w:rsidRPr="0069682A" w:rsidRDefault="003E2130" w:rsidP="00405F8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76D29">
        <w:rPr>
          <w:rFonts w:ascii="Times New Roman" w:hAnsi="Times New Roman" w:cs="Times New Roman"/>
          <w:sz w:val="26"/>
          <w:szCs w:val="26"/>
        </w:rPr>
        <w:t xml:space="preserve"> ходе заседания </w:t>
      </w:r>
      <w:r>
        <w:rPr>
          <w:rFonts w:ascii="Times New Roman" w:hAnsi="Times New Roman" w:cs="Times New Roman"/>
          <w:sz w:val="26"/>
          <w:szCs w:val="26"/>
        </w:rPr>
        <w:t>руководство и члены Общественного совета подвели</w:t>
      </w:r>
      <w:r w:rsidR="00885792" w:rsidRPr="0069682A">
        <w:rPr>
          <w:rFonts w:ascii="Times New Roman" w:hAnsi="Times New Roman" w:cs="Times New Roman"/>
          <w:sz w:val="26"/>
          <w:szCs w:val="26"/>
        </w:rPr>
        <w:t xml:space="preserve"> итоги работы за прошедший год, </w:t>
      </w:r>
      <w:r w:rsidR="0037007D">
        <w:rPr>
          <w:rFonts w:ascii="Times New Roman" w:hAnsi="Times New Roman" w:cs="Times New Roman"/>
          <w:sz w:val="26"/>
          <w:szCs w:val="26"/>
        </w:rPr>
        <w:t>определили</w:t>
      </w:r>
      <w:r w:rsidR="0037007D" w:rsidRPr="0069682A">
        <w:rPr>
          <w:rFonts w:ascii="Times New Roman" w:hAnsi="Times New Roman" w:cs="Times New Roman"/>
          <w:sz w:val="26"/>
          <w:szCs w:val="26"/>
        </w:rPr>
        <w:t xml:space="preserve"> план основных мероприятий Общественного совета на предстоящий год</w:t>
      </w:r>
      <w:r w:rsidR="0037007D">
        <w:rPr>
          <w:rFonts w:ascii="Times New Roman" w:hAnsi="Times New Roman" w:cs="Times New Roman"/>
          <w:sz w:val="26"/>
          <w:szCs w:val="26"/>
        </w:rPr>
        <w:t xml:space="preserve">, </w:t>
      </w:r>
      <w:r w:rsidR="00885792" w:rsidRPr="0069682A">
        <w:rPr>
          <w:rFonts w:ascii="Times New Roman" w:hAnsi="Times New Roman" w:cs="Times New Roman"/>
          <w:sz w:val="26"/>
          <w:szCs w:val="26"/>
        </w:rPr>
        <w:t xml:space="preserve">обсудили </w:t>
      </w:r>
      <w:r w:rsidR="006256E9" w:rsidRPr="0069682A">
        <w:rPr>
          <w:rFonts w:ascii="Times New Roman" w:hAnsi="Times New Roman" w:cs="Times New Roman"/>
          <w:sz w:val="26"/>
          <w:szCs w:val="26"/>
        </w:rPr>
        <w:t xml:space="preserve">вопрос, касающийся </w:t>
      </w:r>
      <w:r w:rsidR="003613AB" w:rsidRPr="0069682A">
        <w:rPr>
          <w:rFonts w:ascii="Times New Roman" w:hAnsi="Times New Roman" w:cs="Times New Roman"/>
          <w:sz w:val="26"/>
          <w:szCs w:val="26"/>
        </w:rPr>
        <w:t xml:space="preserve">реализации мероприятий по проекту «Наполнение Единого государственного реестра недвижимости необходимыми сведениями» в текущем году, </w:t>
      </w:r>
      <w:r w:rsidR="00405F8C" w:rsidRPr="0069682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613AB" w:rsidRPr="0069682A">
        <w:rPr>
          <w:rFonts w:ascii="Times New Roman" w:hAnsi="Times New Roman" w:cs="Times New Roman"/>
          <w:sz w:val="26"/>
          <w:szCs w:val="26"/>
        </w:rPr>
        <w:t>рассмотрели вопрос о проведении комплексных кадастровых работ на т</w:t>
      </w:r>
      <w:r w:rsidR="00405F8C">
        <w:rPr>
          <w:rFonts w:ascii="Times New Roman" w:hAnsi="Times New Roman" w:cs="Times New Roman"/>
          <w:sz w:val="26"/>
          <w:szCs w:val="26"/>
        </w:rPr>
        <w:t>ерритории Белгородской области.</w:t>
      </w:r>
    </w:p>
    <w:p w:rsidR="003613AB" w:rsidRPr="0069682A" w:rsidRDefault="003613AB" w:rsidP="0069682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2A">
        <w:rPr>
          <w:rFonts w:ascii="Times New Roman" w:hAnsi="Times New Roman" w:cs="Times New Roman"/>
          <w:b/>
          <w:sz w:val="26"/>
          <w:szCs w:val="26"/>
        </w:rPr>
        <w:t xml:space="preserve">Руководитель Управления </w:t>
      </w:r>
      <w:proofErr w:type="spellStart"/>
      <w:r w:rsidRPr="0069682A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69682A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Александр </w:t>
      </w:r>
      <w:proofErr w:type="spellStart"/>
      <w:r w:rsidRPr="0069682A">
        <w:rPr>
          <w:rFonts w:ascii="Times New Roman" w:hAnsi="Times New Roman" w:cs="Times New Roman"/>
          <w:b/>
          <w:sz w:val="26"/>
          <w:szCs w:val="26"/>
        </w:rPr>
        <w:t>Масич</w:t>
      </w:r>
      <w:proofErr w:type="spellEnd"/>
      <w:r w:rsidRPr="006968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9682A">
        <w:rPr>
          <w:rFonts w:ascii="Times New Roman" w:hAnsi="Times New Roman" w:cs="Times New Roman"/>
          <w:sz w:val="26"/>
          <w:szCs w:val="26"/>
        </w:rPr>
        <w:t xml:space="preserve">открывая заседание, </w:t>
      </w:r>
      <w:r w:rsidR="006F432E" w:rsidRPr="0069682A">
        <w:rPr>
          <w:rFonts w:ascii="Times New Roman" w:hAnsi="Times New Roman" w:cs="Times New Roman"/>
          <w:sz w:val="26"/>
          <w:szCs w:val="26"/>
        </w:rPr>
        <w:t xml:space="preserve">отметил: </w:t>
      </w:r>
      <w:r w:rsidRPr="0069682A">
        <w:rPr>
          <w:rFonts w:ascii="Times New Roman" w:hAnsi="Times New Roman" w:cs="Times New Roman"/>
          <w:sz w:val="26"/>
          <w:szCs w:val="26"/>
        </w:rPr>
        <w:t>«</w:t>
      </w:r>
      <w:r w:rsidRPr="0069682A">
        <w:rPr>
          <w:rFonts w:ascii="Times New Roman" w:hAnsi="Times New Roman" w:cs="Times New Roman"/>
          <w:i/>
          <w:sz w:val="26"/>
          <w:szCs w:val="26"/>
        </w:rPr>
        <w:t>В последние годы идёт «перезагрузка» общественных советов, направленная на по</w:t>
      </w:r>
      <w:r w:rsidR="002D0ACB">
        <w:rPr>
          <w:rFonts w:ascii="Times New Roman" w:hAnsi="Times New Roman" w:cs="Times New Roman"/>
          <w:i/>
          <w:sz w:val="26"/>
          <w:szCs w:val="26"/>
        </w:rPr>
        <w:t>вышение эффективности их работы</w:t>
      </w:r>
      <w:r w:rsidRPr="0069682A">
        <w:rPr>
          <w:rFonts w:ascii="Times New Roman" w:hAnsi="Times New Roman" w:cs="Times New Roman"/>
          <w:i/>
          <w:sz w:val="26"/>
          <w:szCs w:val="26"/>
        </w:rPr>
        <w:t>. Поэтому Управление постаралось максимально оказать все необходимое содействие для организации работы именно в таком формате</w:t>
      </w:r>
      <w:r w:rsidR="006F432E" w:rsidRPr="0069682A">
        <w:rPr>
          <w:rFonts w:ascii="Times New Roman" w:hAnsi="Times New Roman" w:cs="Times New Roman"/>
          <w:i/>
          <w:sz w:val="26"/>
          <w:szCs w:val="26"/>
        </w:rPr>
        <w:t>. Сегодня мы подведем итоги работы за год, а также совместно выстроим план работы Совета на 2023 год</w:t>
      </w:r>
      <w:r w:rsidRPr="0069682A">
        <w:rPr>
          <w:rFonts w:ascii="Times New Roman" w:hAnsi="Times New Roman" w:cs="Times New Roman"/>
          <w:sz w:val="26"/>
          <w:szCs w:val="26"/>
        </w:rPr>
        <w:t>».</w:t>
      </w:r>
    </w:p>
    <w:p w:rsidR="00080BF9" w:rsidRPr="0069682A" w:rsidRDefault="00B41869" w:rsidP="0069682A">
      <w:pPr>
        <w:spacing w:after="0" w:line="240" w:lineRule="auto"/>
        <w:ind w:firstLine="567"/>
        <w:jc w:val="both"/>
        <w:rPr>
          <w:rFonts w:ascii="wf_segoe-ui_normal" w:hAnsi="wf_segoe-ui_normal"/>
          <w:sz w:val="26"/>
          <w:szCs w:val="26"/>
        </w:rPr>
      </w:pPr>
      <w:r w:rsidRPr="0069682A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E94A56" w:rsidRPr="0069682A">
        <w:rPr>
          <w:rFonts w:ascii="Times New Roman" w:hAnsi="Times New Roman" w:cs="Times New Roman"/>
          <w:sz w:val="26"/>
          <w:szCs w:val="26"/>
        </w:rPr>
        <w:t xml:space="preserve">реализации мероприятий по проекту «Наполнение Единого государственного реестра недвижимости необходимыми сведениями» </w:t>
      </w:r>
      <w:r w:rsidRPr="0069682A"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Pr="0069682A">
        <w:rPr>
          <w:rFonts w:ascii="Times New Roman" w:hAnsi="Times New Roman" w:cs="Times New Roman"/>
          <w:b/>
          <w:sz w:val="26"/>
          <w:szCs w:val="26"/>
        </w:rPr>
        <w:t>заместитель руководителя</w:t>
      </w:r>
      <w:r w:rsidRPr="0069682A">
        <w:rPr>
          <w:rFonts w:ascii="Times New Roman" w:hAnsi="Times New Roman" w:cs="Times New Roman"/>
          <w:sz w:val="26"/>
          <w:szCs w:val="26"/>
        </w:rPr>
        <w:t xml:space="preserve"> </w:t>
      </w:r>
      <w:r w:rsidRPr="0069682A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proofErr w:type="spellStart"/>
      <w:r w:rsidRPr="0069682A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69682A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Юлия </w:t>
      </w:r>
      <w:proofErr w:type="spellStart"/>
      <w:r w:rsidRPr="0069682A">
        <w:rPr>
          <w:rFonts w:ascii="Times New Roman" w:hAnsi="Times New Roman" w:cs="Times New Roman"/>
          <w:b/>
          <w:sz w:val="26"/>
          <w:szCs w:val="26"/>
        </w:rPr>
        <w:t>Яцинишина</w:t>
      </w:r>
      <w:proofErr w:type="spellEnd"/>
      <w:r w:rsidR="009D7D45" w:rsidRPr="0069682A">
        <w:rPr>
          <w:rFonts w:ascii="Times New Roman" w:hAnsi="Times New Roman" w:cs="Times New Roman"/>
          <w:sz w:val="26"/>
          <w:szCs w:val="26"/>
        </w:rPr>
        <w:t xml:space="preserve">, которая рассказала, что </w:t>
      </w:r>
      <w:r w:rsidR="00080BF9" w:rsidRPr="0069682A">
        <w:rPr>
          <w:rFonts w:ascii="Times New Roman" w:hAnsi="Times New Roman"/>
          <w:bCs/>
          <w:sz w:val="26"/>
          <w:szCs w:val="26"/>
        </w:rPr>
        <w:t xml:space="preserve">по состоянию на 1 </w:t>
      </w:r>
      <w:r w:rsidR="00255218">
        <w:rPr>
          <w:rFonts w:ascii="Times New Roman" w:hAnsi="Times New Roman"/>
          <w:bCs/>
          <w:sz w:val="26"/>
          <w:szCs w:val="26"/>
        </w:rPr>
        <w:t>декабря текущего</w:t>
      </w:r>
      <w:r w:rsidR="00080BF9" w:rsidRPr="0069682A">
        <w:rPr>
          <w:rFonts w:ascii="Times New Roman" w:hAnsi="Times New Roman"/>
          <w:bCs/>
          <w:sz w:val="26"/>
          <w:szCs w:val="26"/>
        </w:rPr>
        <w:t xml:space="preserve"> года:</w:t>
      </w:r>
    </w:p>
    <w:p w:rsidR="00080BF9" w:rsidRPr="0069682A" w:rsidRDefault="00080BF9" w:rsidP="0069682A">
      <w:pPr>
        <w:spacing w:after="0" w:line="240" w:lineRule="auto"/>
        <w:ind w:firstLine="567"/>
        <w:jc w:val="both"/>
        <w:rPr>
          <w:rFonts w:ascii="wf_segoe-ui_normal" w:hAnsi="wf_segoe-ui_normal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t>- в ЕГРН внесено</w:t>
      </w:r>
      <w:r w:rsidRPr="006968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55218" w:rsidRPr="00255218">
        <w:rPr>
          <w:rFonts w:ascii="Times New Roman" w:hAnsi="Times New Roman"/>
          <w:bCs/>
          <w:sz w:val="26"/>
          <w:szCs w:val="26"/>
        </w:rPr>
        <w:t>1116</w:t>
      </w:r>
      <w:r w:rsidRPr="0069682A">
        <w:rPr>
          <w:rFonts w:ascii="Times New Roman" w:hAnsi="Times New Roman"/>
          <w:sz w:val="26"/>
          <w:szCs w:val="26"/>
        </w:rPr>
        <w:t xml:space="preserve"> сведений о правообладателях ранее учтенных объектов недвижимости; </w:t>
      </w:r>
      <w:r w:rsidR="00E94A56">
        <w:rPr>
          <w:rFonts w:ascii="Times New Roman" w:hAnsi="Times New Roman"/>
          <w:sz w:val="26"/>
          <w:szCs w:val="26"/>
        </w:rPr>
        <w:t xml:space="preserve"> </w:t>
      </w:r>
    </w:p>
    <w:p w:rsidR="00080BF9" w:rsidRPr="0069682A" w:rsidRDefault="00080BF9" w:rsidP="0069682A">
      <w:pPr>
        <w:spacing w:after="0" w:line="240" w:lineRule="auto"/>
        <w:ind w:firstLine="567"/>
        <w:jc w:val="both"/>
        <w:rPr>
          <w:rFonts w:ascii="wf_segoe-ui_normal" w:hAnsi="wf_segoe-ui_normal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t xml:space="preserve">- снято </w:t>
      </w:r>
      <w:r w:rsidR="00255218">
        <w:rPr>
          <w:rFonts w:ascii="Times New Roman" w:hAnsi="Times New Roman"/>
          <w:bCs/>
          <w:sz w:val="26"/>
          <w:szCs w:val="26"/>
        </w:rPr>
        <w:t>7052</w:t>
      </w:r>
      <w:r w:rsidR="00E774E1">
        <w:rPr>
          <w:rFonts w:ascii="Times New Roman" w:hAnsi="Times New Roman"/>
          <w:sz w:val="26"/>
          <w:szCs w:val="26"/>
        </w:rPr>
        <w:t xml:space="preserve"> ранее учтенных объекта</w:t>
      </w:r>
      <w:r w:rsidRPr="0069682A">
        <w:rPr>
          <w:rFonts w:ascii="Times New Roman" w:hAnsi="Times New Roman"/>
          <w:sz w:val="26"/>
          <w:szCs w:val="26"/>
        </w:rPr>
        <w:t xml:space="preserve"> недвижимости с государственного кадастрового учета; </w:t>
      </w:r>
    </w:p>
    <w:p w:rsidR="00080BF9" w:rsidRPr="0069682A" w:rsidRDefault="00080BF9" w:rsidP="006968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t xml:space="preserve">- осуществлена государственная регистрация ранее возникших прав в отношении </w:t>
      </w:r>
      <w:r w:rsidR="00255218">
        <w:rPr>
          <w:rFonts w:ascii="Times New Roman" w:hAnsi="Times New Roman"/>
          <w:sz w:val="26"/>
          <w:szCs w:val="26"/>
        </w:rPr>
        <w:t>9797</w:t>
      </w:r>
      <w:r w:rsidRPr="0069682A">
        <w:rPr>
          <w:rFonts w:ascii="Times New Roman" w:hAnsi="Times New Roman"/>
          <w:sz w:val="26"/>
          <w:szCs w:val="26"/>
        </w:rPr>
        <w:t xml:space="preserve"> объектов недвижимости;</w:t>
      </w:r>
    </w:p>
    <w:p w:rsidR="00080BF9" w:rsidRPr="0069682A" w:rsidRDefault="00080BF9" w:rsidP="006968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t xml:space="preserve">- в ЕГРН содержатся сведения о </w:t>
      </w:r>
      <w:r w:rsidRPr="00884FDD">
        <w:rPr>
          <w:rFonts w:ascii="Times New Roman" w:hAnsi="Times New Roman"/>
          <w:sz w:val="26"/>
          <w:szCs w:val="26"/>
        </w:rPr>
        <w:t>1430</w:t>
      </w:r>
      <w:r w:rsidRPr="0069682A">
        <w:rPr>
          <w:rFonts w:ascii="Times New Roman" w:hAnsi="Times New Roman"/>
          <w:sz w:val="26"/>
          <w:szCs w:val="26"/>
        </w:rPr>
        <w:t xml:space="preserve"> территориях объектов культурного наследия</w:t>
      </w:r>
      <w:r w:rsidR="00DA6584">
        <w:rPr>
          <w:rFonts w:ascii="Times New Roman" w:hAnsi="Times New Roman"/>
          <w:sz w:val="26"/>
          <w:szCs w:val="26"/>
        </w:rPr>
        <w:t xml:space="preserve">, </w:t>
      </w:r>
      <w:r w:rsidR="00DA6584" w:rsidRPr="00DA6584">
        <w:rPr>
          <w:rFonts w:ascii="Times New Roman" w:hAnsi="Times New Roman"/>
          <w:sz w:val="26"/>
          <w:szCs w:val="26"/>
        </w:rPr>
        <w:t>что составляет 100% от общего количества территорий</w:t>
      </w:r>
      <w:r w:rsidR="00411ADB">
        <w:rPr>
          <w:rFonts w:ascii="Times New Roman" w:hAnsi="Times New Roman"/>
          <w:sz w:val="26"/>
          <w:szCs w:val="26"/>
        </w:rPr>
        <w:t xml:space="preserve"> объектов культурного наследия</w:t>
      </w:r>
      <w:r w:rsidR="00546F3F">
        <w:rPr>
          <w:rFonts w:ascii="Times New Roman" w:hAnsi="Times New Roman"/>
          <w:sz w:val="26"/>
          <w:szCs w:val="26"/>
        </w:rPr>
        <w:t>, включенных в Единый государственный реестр объектов культурного наследия,</w:t>
      </w:r>
      <w:r w:rsidR="00411ADB">
        <w:rPr>
          <w:rFonts w:ascii="Times New Roman" w:hAnsi="Times New Roman"/>
          <w:sz w:val="26"/>
          <w:szCs w:val="26"/>
        </w:rPr>
        <w:t xml:space="preserve"> </w:t>
      </w:r>
      <w:r w:rsidR="00DA6584" w:rsidRPr="00DA6584">
        <w:rPr>
          <w:rFonts w:ascii="Times New Roman" w:hAnsi="Times New Roman"/>
          <w:sz w:val="26"/>
          <w:szCs w:val="26"/>
        </w:rPr>
        <w:t>на территории области</w:t>
      </w:r>
      <w:r w:rsidRPr="0069682A">
        <w:rPr>
          <w:rFonts w:ascii="Times New Roman" w:hAnsi="Times New Roman"/>
          <w:sz w:val="26"/>
          <w:szCs w:val="26"/>
        </w:rPr>
        <w:t>;</w:t>
      </w:r>
    </w:p>
    <w:p w:rsidR="00080BF9" w:rsidRPr="0069682A" w:rsidRDefault="00080BF9" w:rsidP="006968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lastRenderedPageBreak/>
        <w:t xml:space="preserve">- в ЕГРН содержатся сведения в отношении </w:t>
      </w:r>
      <w:r w:rsidRPr="00884FDD">
        <w:rPr>
          <w:rFonts w:ascii="Times New Roman" w:hAnsi="Times New Roman"/>
          <w:sz w:val="26"/>
          <w:szCs w:val="26"/>
        </w:rPr>
        <w:t>317</w:t>
      </w:r>
      <w:r w:rsidRPr="0069682A">
        <w:rPr>
          <w:rFonts w:ascii="Times New Roman" w:hAnsi="Times New Roman"/>
          <w:b/>
          <w:sz w:val="26"/>
          <w:szCs w:val="26"/>
        </w:rPr>
        <w:t xml:space="preserve"> </w:t>
      </w:r>
      <w:r w:rsidRPr="0069682A">
        <w:rPr>
          <w:rFonts w:ascii="Times New Roman" w:hAnsi="Times New Roman"/>
          <w:sz w:val="26"/>
          <w:szCs w:val="26"/>
        </w:rPr>
        <w:t xml:space="preserve">особо охраняемых природных </w:t>
      </w:r>
      <w:r w:rsidR="00EE6313">
        <w:rPr>
          <w:rFonts w:ascii="Times New Roman" w:hAnsi="Times New Roman"/>
          <w:sz w:val="26"/>
          <w:szCs w:val="26"/>
        </w:rPr>
        <w:t>территорий, что составляет 95,2</w:t>
      </w:r>
      <w:r w:rsidRPr="0069682A">
        <w:rPr>
          <w:rFonts w:ascii="Times New Roman" w:hAnsi="Times New Roman"/>
          <w:sz w:val="26"/>
          <w:szCs w:val="26"/>
        </w:rPr>
        <w:t>% от общего количества особо охраняемых природных территорий Белгородской области;</w:t>
      </w:r>
    </w:p>
    <w:p w:rsidR="00080BF9" w:rsidRPr="0069682A" w:rsidRDefault="00080BF9" w:rsidP="006968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t>- общее количество лесных участков</w:t>
      </w:r>
      <w:r w:rsidR="0005662A">
        <w:rPr>
          <w:rFonts w:ascii="Times New Roman" w:hAnsi="Times New Roman"/>
          <w:sz w:val="26"/>
          <w:szCs w:val="26"/>
        </w:rPr>
        <w:t>, внесенных</w:t>
      </w:r>
      <w:r w:rsidRPr="0069682A">
        <w:rPr>
          <w:rFonts w:ascii="Times New Roman" w:hAnsi="Times New Roman"/>
          <w:sz w:val="26"/>
          <w:szCs w:val="26"/>
        </w:rPr>
        <w:t xml:space="preserve"> в ЕГРН – 2335;</w:t>
      </w:r>
    </w:p>
    <w:p w:rsidR="00CF6311" w:rsidRPr="0069682A" w:rsidRDefault="00080BF9" w:rsidP="006968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t>- в ЕГРН внесены сведения о границах 14 лесничеств.</w:t>
      </w:r>
    </w:p>
    <w:p w:rsidR="00CF6311" w:rsidRPr="0069682A" w:rsidRDefault="00CF6311" w:rsidP="00696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82A">
        <w:rPr>
          <w:rFonts w:ascii="Times New Roman" w:hAnsi="Times New Roman"/>
          <w:sz w:val="26"/>
          <w:szCs w:val="26"/>
        </w:rPr>
        <w:t>Напомним, что наличие в ЕГРН точных сведений об административных границах, правообладателях объектов недвижимости, а также недостающих сведений для определения кадастровой стоимости объектов недвижимости позволит упростить процедуры регистрации, получения необходимой информации об объектах недвижимости, и как следствие, положительно повлияет на экономическую и социальную составляющую, что повысит инвестиционную привлекательность региона в целом.</w:t>
      </w:r>
      <w:r w:rsidR="00B41869" w:rsidRPr="00696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CBE" w:rsidRPr="0069682A" w:rsidRDefault="00E46CBE" w:rsidP="006968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82A">
        <w:rPr>
          <w:rFonts w:ascii="Times New Roman" w:hAnsi="Times New Roman" w:cs="Times New Roman"/>
          <w:sz w:val="26"/>
          <w:szCs w:val="26"/>
        </w:rPr>
        <w:t xml:space="preserve">По вопросу проведения комплексных кадастровых работ на территории Белгородской области, выступила </w:t>
      </w:r>
      <w:r w:rsidRPr="0069682A">
        <w:rPr>
          <w:rFonts w:ascii="Times New Roman" w:hAnsi="Times New Roman" w:cs="Times New Roman"/>
          <w:b/>
          <w:sz w:val="26"/>
          <w:szCs w:val="26"/>
        </w:rPr>
        <w:t>заместитель руководителя</w:t>
      </w:r>
      <w:r w:rsidRPr="0069682A">
        <w:rPr>
          <w:rFonts w:ascii="Times New Roman" w:hAnsi="Times New Roman" w:cs="Times New Roman"/>
          <w:sz w:val="26"/>
          <w:szCs w:val="26"/>
        </w:rPr>
        <w:t xml:space="preserve"> </w:t>
      </w:r>
      <w:r w:rsidRPr="0069682A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proofErr w:type="spellStart"/>
      <w:r w:rsidRPr="0069682A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69682A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 Лариса Александрова, </w:t>
      </w:r>
      <w:r w:rsidRPr="0069682A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1308B8" w:rsidRPr="0069682A">
        <w:rPr>
          <w:rFonts w:ascii="Times New Roman" w:hAnsi="Times New Roman" w:cs="Times New Roman"/>
          <w:sz w:val="26"/>
          <w:szCs w:val="26"/>
        </w:rPr>
        <w:t>сообщила, что по состоянию на 06.12.2022 общее количество объектов недвижимости, внесённых в сведения Единого государственного реестра недвижимости по результатам проведения комплексных кадастровых работ за счёт средств федерального бюджета, составляет 33789, из них: 18904 земельных участков и 14885 объектов капитального строительства.</w:t>
      </w:r>
      <w:r w:rsidR="0069682A" w:rsidRPr="0069682A">
        <w:rPr>
          <w:rFonts w:ascii="Times New Roman" w:hAnsi="Times New Roman" w:cs="Times New Roman"/>
          <w:sz w:val="26"/>
          <w:szCs w:val="26"/>
        </w:rPr>
        <w:t xml:space="preserve"> В целом, в 2022 году комплексные кадастровые работы проведены на территориях всех 22 муниципальных районов и городских округов Белгородской области в отношении 468 кадастровых кварталов.</w:t>
      </w:r>
    </w:p>
    <w:p w:rsidR="00E46CBE" w:rsidRPr="0069682A" w:rsidRDefault="00E46CBE" w:rsidP="00696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82A">
        <w:rPr>
          <w:rFonts w:ascii="Times New Roman" w:hAnsi="Times New Roman" w:cs="Times New Roman"/>
          <w:sz w:val="26"/>
          <w:szCs w:val="26"/>
        </w:rPr>
        <w:t>Важно отметить, что основной целью проведения работ является повышение качества данных, содержащихся в Едином государственном реестре недвижимости, что необходимо для защиты прав собственности, сокращен</w:t>
      </w:r>
      <w:r w:rsidR="002D0ACB">
        <w:rPr>
          <w:rFonts w:ascii="Times New Roman" w:hAnsi="Times New Roman" w:cs="Times New Roman"/>
          <w:sz w:val="26"/>
          <w:szCs w:val="26"/>
        </w:rPr>
        <w:t xml:space="preserve">ия количества земельных споров и </w:t>
      </w:r>
      <w:r w:rsidRPr="0069682A">
        <w:rPr>
          <w:rFonts w:ascii="Times New Roman" w:hAnsi="Times New Roman" w:cs="Times New Roman"/>
          <w:sz w:val="26"/>
          <w:szCs w:val="26"/>
        </w:rPr>
        <w:t>совершенствования земельно-имущественных отношений</w:t>
      </w:r>
      <w:r w:rsidR="002D0ACB">
        <w:rPr>
          <w:rFonts w:ascii="Times New Roman" w:hAnsi="Times New Roman" w:cs="Times New Roman"/>
          <w:sz w:val="26"/>
          <w:szCs w:val="26"/>
        </w:rPr>
        <w:t>.</w:t>
      </w:r>
    </w:p>
    <w:p w:rsidR="00A56A6C" w:rsidRPr="00A56A6C" w:rsidRDefault="00885792" w:rsidP="00A56A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682A">
        <w:rPr>
          <w:rFonts w:ascii="Times New Roman" w:hAnsi="Times New Roman" w:cs="Times New Roman"/>
          <w:b/>
          <w:sz w:val="26"/>
          <w:szCs w:val="26"/>
        </w:rPr>
        <w:t xml:space="preserve">Председатель Общественного совета Ирина </w:t>
      </w:r>
      <w:proofErr w:type="spellStart"/>
      <w:r w:rsidRPr="0069682A">
        <w:rPr>
          <w:rFonts w:ascii="Times New Roman" w:hAnsi="Times New Roman" w:cs="Times New Roman"/>
          <w:b/>
          <w:sz w:val="26"/>
          <w:szCs w:val="26"/>
        </w:rPr>
        <w:t>Суязова</w:t>
      </w:r>
      <w:proofErr w:type="spellEnd"/>
      <w:r w:rsidRPr="0069682A">
        <w:rPr>
          <w:rFonts w:ascii="Times New Roman" w:hAnsi="Times New Roman" w:cs="Times New Roman"/>
          <w:sz w:val="26"/>
          <w:szCs w:val="26"/>
        </w:rPr>
        <w:t xml:space="preserve">, </w:t>
      </w:r>
      <w:r w:rsidR="00692D11" w:rsidRPr="00F76D29">
        <w:rPr>
          <w:rFonts w:ascii="Times New Roman" w:hAnsi="Times New Roman" w:cs="Times New Roman"/>
          <w:sz w:val="26"/>
          <w:szCs w:val="26"/>
        </w:rPr>
        <w:t>подводя итоги заседани</w:t>
      </w:r>
      <w:r w:rsidR="00677999">
        <w:rPr>
          <w:rFonts w:ascii="Times New Roman" w:hAnsi="Times New Roman" w:cs="Times New Roman"/>
          <w:sz w:val="26"/>
          <w:szCs w:val="26"/>
        </w:rPr>
        <w:t>я</w:t>
      </w:r>
      <w:r w:rsidR="00692D11" w:rsidRPr="00F76D29">
        <w:rPr>
          <w:rFonts w:ascii="Times New Roman" w:hAnsi="Times New Roman" w:cs="Times New Roman"/>
          <w:sz w:val="26"/>
          <w:szCs w:val="26"/>
        </w:rPr>
        <w:t xml:space="preserve">, </w:t>
      </w:r>
      <w:r w:rsidR="00677999">
        <w:rPr>
          <w:rFonts w:ascii="Times New Roman" w:hAnsi="Times New Roman" w:cs="Times New Roman"/>
          <w:sz w:val="26"/>
          <w:szCs w:val="26"/>
        </w:rPr>
        <w:t>отметила</w:t>
      </w:r>
      <w:r w:rsidR="004769A6" w:rsidRPr="00F76D29">
        <w:rPr>
          <w:rFonts w:ascii="Times New Roman" w:hAnsi="Times New Roman" w:cs="Times New Roman"/>
          <w:sz w:val="26"/>
          <w:szCs w:val="26"/>
        </w:rPr>
        <w:t>: «</w:t>
      </w:r>
      <w:r w:rsidR="00A56A6C" w:rsidRPr="00A56A6C">
        <w:rPr>
          <w:rFonts w:ascii="Times New Roman" w:hAnsi="Times New Roman" w:cs="Times New Roman"/>
          <w:i/>
          <w:sz w:val="26"/>
          <w:szCs w:val="26"/>
        </w:rPr>
        <w:t>Росреестр постоянно работает над повышением открытости и улучшением качества и доступности предоставления государственных услуг. И здесь важную роль играет Общественный совет, как инструмент обратной связи с клиентами ведомства.</w:t>
      </w:r>
    </w:p>
    <w:p w:rsidR="00A56A6C" w:rsidRPr="00A56A6C" w:rsidRDefault="00A56A6C" w:rsidP="00A56A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6A6C">
        <w:rPr>
          <w:rFonts w:ascii="Times New Roman" w:hAnsi="Times New Roman" w:cs="Times New Roman"/>
          <w:i/>
          <w:sz w:val="26"/>
          <w:szCs w:val="26"/>
        </w:rPr>
        <w:t xml:space="preserve">В феврале 2022 сформирован новый состав Общественного совета при Управлении </w:t>
      </w:r>
      <w:proofErr w:type="spellStart"/>
      <w:r w:rsidRPr="00A56A6C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A56A6C">
        <w:rPr>
          <w:rFonts w:ascii="Times New Roman" w:hAnsi="Times New Roman" w:cs="Times New Roman"/>
          <w:i/>
          <w:sz w:val="26"/>
          <w:szCs w:val="26"/>
        </w:rPr>
        <w:t xml:space="preserve"> по Белгородской области. За это время нам удалось выстроить системную работу, не ограничиваясь регламентами, и открыто обсуждать актуальные вопросы в интересах граждан, бизнеса и профессиональных участников рынка.</w:t>
      </w:r>
    </w:p>
    <w:p w:rsidR="00885792" w:rsidRPr="00F76D29" w:rsidRDefault="00A56A6C" w:rsidP="00A56A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highlight w:val="lightGray"/>
        </w:rPr>
      </w:pPr>
      <w:r w:rsidRPr="00A56A6C">
        <w:rPr>
          <w:rFonts w:ascii="Times New Roman" w:hAnsi="Times New Roman" w:cs="Times New Roman"/>
          <w:i/>
          <w:sz w:val="26"/>
          <w:szCs w:val="26"/>
        </w:rPr>
        <w:t>Весь прошедший год Общественный совет при ведомстве успешно справлялся с поставленными задачами и, уверена, будет справляться с ними в дальнейшем</w:t>
      </w:r>
      <w:r w:rsidR="004769A6" w:rsidRPr="00F76D29">
        <w:rPr>
          <w:rFonts w:ascii="Times New Roman" w:hAnsi="Times New Roman" w:cs="Times New Roman"/>
          <w:sz w:val="26"/>
          <w:szCs w:val="26"/>
        </w:rPr>
        <w:t>»</w:t>
      </w:r>
      <w:r w:rsidR="00885792" w:rsidRPr="00F76D29">
        <w:rPr>
          <w:rFonts w:ascii="Times New Roman" w:hAnsi="Times New Roman" w:cs="Times New Roman"/>
          <w:sz w:val="26"/>
          <w:szCs w:val="26"/>
        </w:rPr>
        <w:t>.</w:t>
      </w:r>
    </w:p>
    <w:p w:rsidR="0063174E" w:rsidRDefault="0063174E">
      <w:pPr>
        <w:rPr>
          <w:sz w:val="26"/>
          <w:szCs w:val="26"/>
        </w:rPr>
      </w:pPr>
    </w:p>
    <w:p w:rsidR="00A56A6C" w:rsidRDefault="00E136C2">
      <w:pPr>
        <w:rPr>
          <w:sz w:val="26"/>
          <w:szCs w:val="26"/>
        </w:rPr>
      </w:pPr>
      <w:hyperlink r:id="rId7" w:history="1">
        <w:r w:rsidR="0023570D" w:rsidRPr="000A574C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https://rosreestr.gov.ru/press/archive/v-upravlenii-rosreestra-po-belgorodskoy-oblasti-podveli-itogi-raboty-obshchestvennogo-soveta-za-2022/</w:t>
        </w:r>
      </w:hyperlink>
      <w:r w:rsidR="0023570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3174E" w:rsidRDefault="0063174E">
      <w:pPr>
        <w:rPr>
          <w:sz w:val="26"/>
          <w:szCs w:val="26"/>
        </w:rPr>
      </w:pPr>
    </w:p>
    <w:p w:rsidR="00E11A7D" w:rsidRDefault="00E11A7D" w:rsidP="00E11A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E11A7D" w:rsidRDefault="00E11A7D" w:rsidP="00E11A7D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E11A7D" w:rsidRDefault="00E11A7D" w:rsidP="00E11A7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E11A7D" w:rsidRDefault="00E11A7D" w:rsidP="00E11A7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E11A7D" w:rsidRDefault="00E11A7D" w:rsidP="00E11A7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E11A7D" w:rsidRDefault="00E11A7D" w:rsidP="00E11A7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E11A7D" w:rsidRPr="00E11A7D" w:rsidRDefault="00E11A7D" w:rsidP="00E11A7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8" w:history="1">
        <w:r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E11A7D" w:rsidRPr="00E1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7"/>
    <w:rsid w:val="0005662A"/>
    <w:rsid w:val="00080BF9"/>
    <w:rsid w:val="000C61F3"/>
    <w:rsid w:val="001146CA"/>
    <w:rsid w:val="001308B8"/>
    <w:rsid w:val="00176EF0"/>
    <w:rsid w:val="0023570D"/>
    <w:rsid w:val="00246D6D"/>
    <w:rsid w:val="002516A1"/>
    <w:rsid w:val="00255218"/>
    <w:rsid w:val="002D0ACB"/>
    <w:rsid w:val="002F7318"/>
    <w:rsid w:val="003613AB"/>
    <w:rsid w:val="0037007D"/>
    <w:rsid w:val="003E2130"/>
    <w:rsid w:val="00405F8C"/>
    <w:rsid w:val="00411ADB"/>
    <w:rsid w:val="00430318"/>
    <w:rsid w:val="004769A6"/>
    <w:rsid w:val="00546F3F"/>
    <w:rsid w:val="00567EFC"/>
    <w:rsid w:val="006122A5"/>
    <w:rsid w:val="006256E9"/>
    <w:rsid w:val="0063174E"/>
    <w:rsid w:val="00677999"/>
    <w:rsid w:val="00692D11"/>
    <w:rsid w:val="0069682A"/>
    <w:rsid w:val="006F432E"/>
    <w:rsid w:val="0074396C"/>
    <w:rsid w:val="00791E85"/>
    <w:rsid w:val="00884FDD"/>
    <w:rsid w:val="00885792"/>
    <w:rsid w:val="00963F5D"/>
    <w:rsid w:val="0099492B"/>
    <w:rsid w:val="009D7D45"/>
    <w:rsid w:val="009E4007"/>
    <w:rsid w:val="00A56A6C"/>
    <w:rsid w:val="00AC07A7"/>
    <w:rsid w:val="00B41869"/>
    <w:rsid w:val="00CF6311"/>
    <w:rsid w:val="00DA6584"/>
    <w:rsid w:val="00DE75D8"/>
    <w:rsid w:val="00E10852"/>
    <w:rsid w:val="00E11A7D"/>
    <w:rsid w:val="00E136C2"/>
    <w:rsid w:val="00E46CBE"/>
    <w:rsid w:val="00E774E1"/>
    <w:rsid w:val="00E94A56"/>
    <w:rsid w:val="00EC56BF"/>
    <w:rsid w:val="00EE6313"/>
    <w:rsid w:val="00F317B7"/>
    <w:rsid w:val="00F76D29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C"/>
  </w:style>
  <w:style w:type="paragraph" w:styleId="2">
    <w:name w:val="heading 2"/>
    <w:basedOn w:val="a"/>
    <w:link w:val="20"/>
    <w:uiPriority w:val="9"/>
    <w:semiHidden/>
    <w:unhideWhenUsed/>
    <w:qFormat/>
    <w:rsid w:val="0074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3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43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1A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C"/>
  </w:style>
  <w:style w:type="paragraph" w:styleId="2">
    <w:name w:val="heading 2"/>
    <w:basedOn w:val="a"/>
    <w:link w:val="20"/>
    <w:uiPriority w:val="9"/>
    <w:semiHidden/>
    <w:unhideWhenUsed/>
    <w:qFormat/>
    <w:rsid w:val="0074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3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43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1A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v-upravlenii-rosreestra-po-belgorodskoy-oblasti-podveli-itogi-raboty-obshchestvennogo-soveta-za-20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030E-6807-4BF7-928B-C6134048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2022-12-13T11:16:00Z</cp:lastPrinted>
  <dcterms:created xsi:type="dcterms:W3CDTF">2022-12-15T13:35:00Z</dcterms:created>
  <dcterms:modified xsi:type="dcterms:W3CDTF">2022-12-15T13:35:00Z</dcterms:modified>
</cp:coreProperties>
</file>