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10" w:rsidRDefault="00DC6D72">
      <w:pPr>
        <w:pStyle w:val="1"/>
        <w:numPr>
          <w:ilvl w:val="0"/>
          <w:numId w:val="2"/>
        </w:numPr>
        <w:ind w:left="0" w:firstLine="0"/>
        <w:jc w:val="right"/>
        <w:rPr>
          <w:b w:val="0"/>
        </w:rPr>
      </w:pPr>
      <w:r>
        <w:rPr>
          <w:b w:val="0"/>
        </w:rPr>
        <w:t>Руководитель Группы по взаимодействию со СМИ</w:t>
      </w:r>
    </w:p>
    <w:p w:rsidR="00631310" w:rsidRDefault="00DC6D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Чекрыгина Оксана Александровна</w:t>
      </w:r>
    </w:p>
    <w:p w:rsidR="00631310" w:rsidRDefault="00DC6D72">
      <w:pPr>
        <w:pStyle w:val="1"/>
        <w:numPr>
          <w:ilvl w:val="0"/>
          <w:numId w:val="2"/>
        </w:numPr>
        <w:ind w:left="0" w:firstLine="0"/>
        <w:jc w:val="right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141632" cy="123158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 w:val="0"/>
        </w:rPr>
        <w:t xml:space="preserve">8(4722)30-69-48   </w:t>
      </w:r>
      <w:r>
        <w:rPr>
          <w:b w:val="0"/>
          <w:noProof/>
        </w:rPr>
        <w:drawing>
          <wp:inline distT="0" distB="0" distL="0" distR="0">
            <wp:extent cx="144000" cy="144000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 w:val="0"/>
        </w:rPr>
        <w:t>+7 (909) 202 49 16</w:t>
      </w:r>
    </w:p>
    <w:p w:rsidR="00631310" w:rsidRDefault="00F22B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right"/>
        <w:rPr>
          <w:color w:val="000000"/>
          <w:sz w:val="20"/>
          <w:szCs w:val="20"/>
        </w:rPr>
      </w:pPr>
      <w:hyperlink r:id="rId10">
        <w:r w:rsidR="00DC6D7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chekryginao@041.pfr.gov.ru</w:t>
        </w:r>
      </w:hyperlink>
    </w:p>
    <w:p w:rsidR="00631310" w:rsidRDefault="00DC6D72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Электронный сертификат для людей с инвалидностью. Зачем он нужен и как работает?</w:t>
      </w:r>
    </w:p>
    <w:bookmarkEnd w:id="0"/>
    <w:p w:rsidR="00631310" w:rsidRDefault="00DC6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Белгородской области свыше 15 тысяч жителей региона получают от государства протезы, коляски, слуховые аппараты и другие технические средства реабилитации (ТСР). За 2022 год в Белгородской  области люди с инвалидностью оформили 2 208 электронных сертификатов на общую сумму 35,7 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млн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рублей. А за первый месяц января 190 электронных сертификатов на сумму 2,27 млн рублей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Н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аиболее востребованными средствами реабилитации у белгородцев являются подгузники, абсорбирующее белье и спецсредства при нарушении функций выделения. </w:t>
      </w:r>
    </w:p>
    <w:p w:rsidR="00631310" w:rsidRDefault="00DC6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конца 2021 года появилась возможность покупать средства реабилитации с помощью электронного сертификата. Ранее существовало только два способа получить, например, коляску: от ФСС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госконтракту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купить самому и получить компенсацию.  Электронный сертификат (ЭС) привязывается к карте "Мир", позволяя моментально оплатить выбранное изделие. Единственное условие – техническое средство должно соответствовать индивидуальной программе реабилитации человека. В сертификате уточнено, на какой вид средства реабилитации (кресло-коляска, слуховой аппарат и др.) претендует человек с ограниченными возможностями, а также в обязательном порядке указывается  количество средств реабилитации. Срок действия электронного сертификата 1 год для большинства технических средств реабилитации. До 90 дней для абсорбирующего белья и подгузников. При этом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если срок действия индивидуальной программы реабилитации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абилитации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(ИПРА) или срок проведения реабилитационных мероприятий по обеспечению данным видом ТСР заканчивается раньше, то срок действия электронного сертификата будет соответственно сокращён.</w:t>
      </w:r>
    </w:p>
    <w:p w:rsidR="00631310" w:rsidRDefault="00DC6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Правом на получение сертификата обладают, прежде всего, люди с инвалидностью, в том числе дети-инвалиды, лица кто пострадал в результате несчастного случая на производстве или же получившие профзаболевание. Оформить сертификат можно двумя способами: лично обратившись в Отделение Социального фонда России по Белгородской области или же МФЦ, а также через личный кабинет на портале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631310" w:rsidRDefault="00DC6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 напомнить, что сумма сертификата соответствует цене аналогичного средства реабилитации, которое Фонд социального страхования приобретал по государственным контрактам. Если выбранное средство реабилитации дороже, то гражданин может доплатить разницу сам.</w:t>
      </w:r>
    </w:p>
    <w:p w:rsidR="00631310" w:rsidRDefault="00DC6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Белгородцы с помощью сертификата могут приобрести свыше 190 средств  технической реабилитации, в их числе:  трости, костыли, опоры и поручни;  кресла-коляски с ручным приводом, с электроприводом и аккумуляторные батареи к ним;  ортопедическую обувь;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противопролежневые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матрацы и подушки;  приспособления для одевания, раздевания и захвата предметов;  специальную одежду; специальные устройства для чтения "говорящие книги", для оптической коррекции слабовидения;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медицинские термометры и тонометры с речевым выходом;  сигнализаторы звука световые и вибрационные;  слуховые аппараты, в том числе с ушными вкладышами индивидуального изготовления; кресла-стулья с санитарным оснащением;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брайлевский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дисплей, программное обеспечение экранного доступа;  абсорбирующее белье и подгузники, специальные средства при нарушении функций выделения.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Ознакомиться с полным перечнем каталога ТСР можно по ссылке </w:t>
      </w:r>
      <w:hyperlink r:id="rId11">
        <w:r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https://ktsr.sfr.gov.ru/</w:t>
        </w:r>
      </w:hyperlink>
    </w:p>
    <w:p w:rsidR="00631310" w:rsidRDefault="00DC6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Напоминаем белгородцам, что средства реабилитации, приобретённые с помощью сертификата можно вернуть. Для возврата продавцу нужно предъявить карту "Мир", привязанную к сертификату. Средства возвращаются на электронный сертификат. Если его срок действия не истек, то сертификат можно снова использовать для приобретения необходимого изделия. </w:t>
      </w:r>
    </w:p>
    <w:p w:rsidR="00631310" w:rsidRDefault="00DC6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Использовать сертификат можно будет в любом магазине, который работает с электронными сертификатами, в том числе онлайн, для покупки технического средства реабилитации. Можно будет получить, например, трость, слуховой аппарат, коляску для детей-инвалидов.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Сейчас мы насчитываем уже более 40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интернет-магазинов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России, доля покупок, в которых составила свыше 20%.</w:t>
      </w:r>
    </w:p>
    <w:p w:rsidR="00631310" w:rsidRDefault="00DC6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Более 1 тысячи белгородцев  воспользовались  электронным сертификатом, приобретя  техническое средство реабилитации онлайн.</w:t>
      </w:r>
    </w:p>
    <w:p w:rsidR="00631310" w:rsidRDefault="00DC6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Основное различие между самостоятельным приобретением технических средств реабилитации с последующей выплатой компенсации и самостоятельным приобретением с использованием электронного сертификата это то, что при приобретении ТСР с последующей выплатой компенсации человек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оплачивает полную стоимость ТСР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 своих средств, и через определенное время Отделение Социального фонда России по Белгородской области возвращает потраченные средства полностью или частично, в зависимости от стоимости приобретенного ТСР. На выдаваемый электронный сертификат Социальный фонд России  записывает определенную сумму, которую можно потратить на приобретение ТСР. При этом собственные средства придётся потратить, только в том случае, если стоимость приобретенного ТСР превышает сумму сертификата.</w:t>
      </w:r>
    </w:p>
    <w:p w:rsidR="00631310" w:rsidRDefault="00DC6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Основные преимущества электронного сертификата – это  экономия денег и времени. В отличие от других способов приобретения технических средств реабилитации, электронным сертификатом можно воспользоваться сразу же  в момент покупки. Если же получать ТСР через Отделение Социального фонда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России по Белгородской области, человеку не придется самому искать изделие и заказывать, но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госзакупка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займет время. 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если человек приобретает изделие сам с последующей компенсацией, ее также придется ждать, оплатив необходимый товар вперед. </w:t>
      </w:r>
    </w:p>
    <w:p w:rsidR="00631310" w:rsidRDefault="00DC6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- Немало важным фактором является личный выбор человека. Получая ТСР через  Социальный  фонд России, гражданину выбрать конкретную модель, дизайн, производителя не получится, - поясняет управляющий Отделением Социального фонда России по Белгородской области Ирина Шушкова. – При осуществлении государственных торгов побеждает тот, кто предложил товар, отвечающий техническим требованиям. Важно понять, что электронный сертификат позволяет белгородцу самостоятельно делать выбор — выбор технического средства реабилитации, которое в наибольшей степени удовлетворяет по качеству, выбор того магазина, где нравится сервис и обслуживание. Стоит отметить, что потребности инвалидов различны, и выбор средства реабилитации обусловлен не только предпочтением марки и дизайна изделия, но и индивидуальной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донастройкой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изделия под каждого человека, прежде всего, касается кресел-колясок и опор, особенно для детей с ДЦП, где важен индивидуальный подбор. Востребованы по сертификату также ортопедическая обувь, слуховые аппараты, абсорбирующее белье, трости, костыли. Здесь важный аргумент  имеет такой критерий как производитель, так как у каждого свои предпочтения. Наша главная задача упростить жизненный процесс людей с ограниченными возможностями, в том числе через сокращение личных походов в различные организации, так как для многих инвалидов такие перемещения затруднительны. В их числе и электронный сертификат: не выходя из дома, белгородец может, как оформить его, так и приобрести технические средства реабилитации в онлайн-магазине.</w:t>
      </w:r>
    </w:p>
    <w:p w:rsidR="00631310" w:rsidRDefault="00DC6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Уже второй год как белгородские инвалиды могут приобретать ТСР на площадке одного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маркетплейса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самовывозом или же доставкой курьером. Помимо расширения географии, растет ассортимент онлайн-платформы: сейчас на площадке представлено более 70% категорий товаров из каталога Социального фонда России. У белгородцев самыми популярными категориями являются кресла-коляски, впитывающее белье и средства передвижения: костыли, трости, ходунки. Но выбор в пользу использования электронного сертификата остается за получателем мер поддержки.</w:t>
      </w:r>
    </w:p>
    <w:sectPr w:rsidR="00631310">
      <w:headerReference w:type="default" r:id="rId12"/>
      <w:footerReference w:type="default" r:id="rId13"/>
      <w:pgSz w:w="11906" w:h="16838"/>
      <w:pgMar w:top="2662" w:right="850" w:bottom="1134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B60" w:rsidRDefault="00F22B60">
      <w:pPr>
        <w:spacing w:after="0" w:line="240" w:lineRule="auto"/>
      </w:pPr>
      <w:r>
        <w:separator/>
      </w:r>
    </w:p>
  </w:endnote>
  <w:endnote w:type="continuationSeparator" w:id="0">
    <w:p w:rsidR="00F22B60" w:rsidRDefault="00F22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310" w:rsidRDefault="00DC6D72">
    <w:pPr>
      <w:tabs>
        <w:tab w:val="left" w:pos="765"/>
        <w:tab w:val="center" w:pos="4677"/>
      </w:tabs>
      <w:spacing w:after="0"/>
      <w:jc w:val="center"/>
    </w:pPr>
    <w:r>
      <w:t>Горячая линия 8(800)6000-341 8(4722)30-69-67</w: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column">
                <wp:posOffset>-321944</wp:posOffset>
              </wp:positionH>
              <wp:positionV relativeFrom="paragraph">
                <wp:posOffset>-80009</wp:posOffset>
              </wp:positionV>
              <wp:extent cx="6352540" cy="0"/>
              <wp:effectExtent l="11430" t="15240" r="8255" b="13335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-321944</wp:posOffset>
              </wp:positionH>
              <wp:positionV relativeFrom="paragraph">
                <wp:posOffset>-80009</wp:posOffset>
              </wp:positionV>
              <wp:extent cx="6372225" cy="28575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72225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631310" w:rsidRDefault="00631310">
    <w:pPr>
      <w:tabs>
        <w:tab w:val="left" w:pos="765"/>
        <w:tab w:val="center" w:pos="4677"/>
      </w:tabs>
      <w:spacing w:after="0"/>
      <w:jc w:val="center"/>
    </w:pPr>
  </w:p>
  <w:p w:rsidR="00631310" w:rsidRDefault="00DC6D72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631310" w:rsidRDefault="0063131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B60" w:rsidRDefault="00F22B60">
      <w:pPr>
        <w:spacing w:after="0" w:line="240" w:lineRule="auto"/>
      </w:pPr>
      <w:r>
        <w:separator/>
      </w:r>
    </w:p>
  </w:footnote>
  <w:footnote w:type="continuationSeparator" w:id="0">
    <w:p w:rsidR="00F22B60" w:rsidRDefault="00F22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310" w:rsidRDefault="00DC6D7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-509268</wp:posOffset>
          </wp:positionH>
          <wp:positionV relativeFrom="margin">
            <wp:posOffset>-1467484</wp:posOffset>
          </wp:positionV>
          <wp:extent cx="2124075" cy="1195705"/>
          <wp:effectExtent l="0" t="0" r="0" b="0"/>
          <wp:wrapSquare wrapText="bothSides" distT="0" distB="0" distL="114300" distR="114300"/>
          <wp:docPr id="3" name="image1.png" descr="Z:\Логотип СФР\Логотип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Z:\Логотип СФР\Логотип.PNG"/>
                  <pic:cNvPicPr preferRelativeResize="0"/>
                </pic:nvPicPr>
                <pic:blipFill>
                  <a:blip r:embed="rId1"/>
                  <a:srcRect l="1" t="10145" r="3593" b="8167"/>
                  <a:stretch>
                    <a:fillRect/>
                  </a:stretch>
                </pic:blipFill>
                <pic:spPr>
                  <a:xfrm>
                    <a:off x="0" y="0"/>
                    <a:ext cx="2124075" cy="1195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2234565</wp:posOffset>
              </wp:positionH>
              <wp:positionV relativeFrom="paragraph">
                <wp:posOffset>102870</wp:posOffset>
              </wp:positionV>
              <wp:extent cx="3726180" cy="145732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1457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305ED0" w:rsidRDefault="00F22B60" w:rsidP="00E60B04">
                          <w:pPr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Pr="00BA4459" w:rsidRDefault="00DC6D72" w:rsidP="00E60B04">
                          <w:pPr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Отделение СФР по Белгородской области </w:t>
                          </w:r>
                        </w:p>
                        <w:p w:rsidR="00305ED0" w:rsidRPr="00BA4459" w:rsidRDefault="00DC6D72" w:rsidP="00E60B04">
                          <w:pPr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Группа по взаимодействию со СМИ</w:t>
                          </w:r>
                        </w:p>
                        <w:p w:rsidR="00BF7B2B" w:rsidRPr="00BA4459" w:rsidRDefault="00DC6D72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</w:pPr>
                          <w:r w:rsidRPr="00BA4459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Преображенская дом 87                                                                 </w:t>
                          </w:r>
                        </w:p>
                        <w:p w:rsidR="00305ED0" w:rsidRDefault="00F22B60" w:rsidP="00E60B04">
                          <w:r>
                            <w:rPr>
                              <w:sz w:val="24"/>
                              <w:szCs w:val="24"/>
                            </w:rP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2234565</wp:posOffset>
              </wp:positionH>
              <wp:positionV relativeFrom="paragraph">
                <wp:posOffset>102870</wp:posOffset>
              </wp:positionV>
              <wp:extent cx="3726180" cy="1457325"/>
              <wp:effectExtent b="0" l="0" r="0" t="0"/>
              <wp:wrapNone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26180" cy="1457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3E27"/>
    <w:multiLevelType w:val="multilevel"/>
    <w:tmpl w:val="19E249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1CF6624"/>
    <w:multiLevelType w:val="multilevel"/>
    <w:tmpl w:val="83E46A30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1310"/>
    <w:rsid w:val="00631310"/>
    <w:rsid w:val="00B96499"/>
    <w:rsid w:val="00DC6D72"/>
    <w:rsid w:val="00F22B60"/>
    <w:rsid w:val="00F5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5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5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ktsr.sfr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hekryginao@041.pfr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Чекрыгина Оксана Александровна</dc:creator>
  <cp:lastModifiedBy>Бочарникова_204</cp:lastModifiedBy>
  <cp:revision>2</cp:revision>
  <dcterms:created xsi:type="dcterms:W3CDTF">2023-02-16T11:22:00Z</dcterms:created>
  <dcterms:modified xsi:type="dcterms:W3CDTF">2023-02-16T11:22:00Z</dcterms:modified>
</cp:coreProperties>
</file>