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9F" w:rsidRDefault="000D179F" w:rsidP="000D17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Перечень проектов нормативных правовых актов администрации </w:t>
      </w:r>
      <w:proofErr w:type="spellStart"/>
      <w:r w:rsidRPr="007F6A4E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7F6A4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D179F" w:rsidRPr="007F6A4E" w:rsidRDefault="000D179F" w:rsidP="000D17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A4E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A4E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0D179F" w:rsidRPr="007F6A4E" w:rsidRDefault="000D179F" w:rsidP="000D179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0D179F" w:rsidRPr="007F6A4E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7F6A4E" w:rsidRDefault="000D179F" w:rsidP="00BF4A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7F6A4E" w:rsidRDefault="000D179F" w:rsidP="00BF4A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6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проекта НПА </w:t>
            </w: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034"/>
      </w:tblGrid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lang w:eastAsia="ru-RU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</w:t>
            </w:r>
            <w:r w:rsidRPr="00E87520">
              <w:rPr>
                <w:rFonts w:ascii="yandex-sans" w:eastAsia="Times New Roman" w:hAnsi="yandex-sans" w:cs="Times New Roman"/>
                <w:lang w:eastAsia="ru-RU"/>
              </w:rPr>
              <w:t>Административный регламент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</w:tr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>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«Предоставление информации об объектах учёта, содержащейся в реестре муниципального имущества»</w:t>
            </w:r>
          </w:p>
        </w:tc>
      </w:tr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>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  <w:tr w:rsidR="000D179F" w:rsidRPr="00E87520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>4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9F" w:rsidRPr="00E87520" w:rsidRDefault="000D179F" w:rsidP="00BF4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52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E87520">
              <w:rPr>
                <w:rFonts w:ascii="Times New Roman" w:hAnsi="Times New Roman"/>
              </w:rPr>
              <w:t>Шебекинского</w:t>
            </w:r>
            <w:proofErr w:type="spellEnd"/>
            <w:r w:rsidRPr="00E87520">
              <w:rPr>
                <w:rFonts w:ascii="Times New Roman" w:hAnsi="Times New Roman"/>
              </w:rPr>
              <w:t xml:space="preserve"> городского округа «Об утверждении административного регламента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</w:tbl>
    <w:p w:rsidR="008D5EDC" w:rsidRDefault="008D5EDC"/>
    <w:sectPr w:rsidR="008D5EDC" w:rsidSect="000D17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9F"/>
    <w:rsid w:val="000D179F"/>
    <w:rsid w:val="008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D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D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1</cp:revision>
  <dcterms:created xsi:type="dcterms:W3CDTF">2023-01-31T08:31:00Z</dcterms:created>
  <dcterms:modified xsi:type="dcterms:W3CDTF">2023-01-31T08:32:00Z</dcterms:modified>
</cp:coreProperties>
</file>