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0" w:right="0" w:firstLine="0"/>
        <w:jc w:val="center"/>
        <w:spacing w:before="240" w:after="60"/>
        <w:tabs>
          <w:tab w:val="clear" w:pos="708" w:leader="none"/>
          <w:tab w:val="left" w:pos="3600" w:leader="none"/>
        </w:tabs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        </w:t>
      </w:r>
      <w:r>
        <w:rPr>
          <w:b/>
          <w:color w:val="000000"/>
          <w:sz w:val="26"/>
          <w:szCs w:val="26"/>
        </w:rPr>
        <w:t xml:space="preserve">Извещение о проведении аукциона по продаже земельного участка в электронной форме, г</w:t>
      </w:r>
      <w:r>
        <w:rPr>
          <w:b/>
          <w:color w:val="000000"/>
          <w:sz w:val="26"/>
          <w:szCs w:val="26"/>
        </w:rPr>
        <w:t xml:space="preserve">осударственная собственность на которые не разграничена</w:t>
      </w:r>
      <w:r>
        <w:rPr>
          <w:rFonts w:ascii="Arial" w:hAnsi="Arial" w:eastAsia="Arial" w:cs="Arial"/>
          <w:b/>
          <w:bCs/>
          <w:sz w:val="20"/>
          <w:szCs w:val="20"/>
        </w:rPr>
      </w:r>
      <w:r>
        <w:rPr>
          <w:rFonts w:ascii="Arial" w:hAnsi="Arial" w:eastAsia="Arial" w:cs="Arial"/>
          <w:b/>
          <w:bCs/>
          <w:sz w:val="20"/>
          <w:szCs w:val="20"/>
        </w:rPr>
      </w:r>
    </w:p>
    <w:p>
      <w:pPr>
        <w:pStyle w:val="656"/>
        <w:ind w:left="-567" w:right="43" w:firstLine="1276"/>
        <w:jc w:val="center"/>
        <w:rPr>
          <w:b/>
          <w:color w:val="000000"/>
          <w:sz w:val="12"/>
          <w:szCs w:val="26"/>
        </w:rPr>
      </w:pPr>
      <w:r>
        <w:rPr>
          <w:b/>
          <w:color w:val="000000"/>
          <w:sz w:val="12"/>
          <w:szCs w:val="26"/>
        </w:rPr>
      </w:r>
      <w:r>
        <w:rPr>
          <w:b/>
          <w:color w:val="000000"/>
          <w:sz w:val="12"/>
          <w:szCs w:val="26"/>
        </w:rPr>
      </w:r>
      <w:r>
        <w:rPr>
          <w:b/>
          <w:color w:val="000000"/>
          <w:sz w:val="12"/>
          <w:szCs w:val="26"/>
        </w:rPr>
      </w:r>
    </w:p>
    <w:p>
      <w:pPr>
        <w:pStyle w:val="656"/>
        <w:ind w:left="-567" w:right="43" w:firstLine="1276"/>
        <w:jc w:val="center"/>
        <w:rPr>
          <w:b/>
          <w:color w:val="000000"/>
          <w:sz w:val="2"/>
          <w:szCs w:val="26"/>
        </w:rPr>
      </w:pPr>
      <w:r>
        <w:rPr>
          <w:b/>
          <w:color w:val="000000"/>
          <w:sz w:val="2"/>
          <w:szCs w:val="26"/>
        </w:rPr>
      </w:r>
      <w:r>
        <w:rPr>
          <w:b/>
          <w:color w:val="000000"/>
          <w:sz w:val="2"/>
          <w:szCs w:val="26"/>
        </w:rPr>
      </w:r>
      <w:r>
        <w:rPr>
          <w:b/>
          <w:color w:val="000000"/>
          <w:sz w:val="2"/>
          <w:szCs w:val="26"/>
        </w:rPr>
      </w:r>
    </w:p>
    <w:p>
      <w:pPr>
        <w:pStyle w:val="656"/>
        <w:ind w:left="-567" w:right="43" w:firstLine="1276"/>
        <w:jc w:val="center"/>
        <w:rPr>
          <w:b/>
          <w:color w:val="000000"/>
          <w:sz w:val="2"/>
          <w:szCs w:val="26"/>
        </w:rPr>
      </w:pPr>
      <w:r>
        <w:rPr>
          <w:b/>
          <w:color w:val="000000"/>
          <w:sz w:val="2"/>
          <w:szCs w:val="26"/>
        </w:rPr>
      </w:r>
      <w:r>
        <w:rPr>
          <w:b/>
          <w:color w:val="000000"/>
          <w:sz w:val="2"/>
          <w:szCs w:val="26"/>
        </w:rPr>
      </w:r>
      <w:r>
        <w:rPr>
          <w:b/>
          <w:color w:val="000000"/>
          <w:sz w:val="2"/>
          <w:szCs w:val="26"/>
        </w:rPr>
      </w:r>
    </w:p>
    <w:p>
      <w:pPr>
        <w:pStyle w:val="656"/>
        <w:ind w:right="0" w:firstLine="567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</w:pPr>
      <w:r>
        <w:rPr>
          <w:color w:val="000000"/>
        </w:rPr>
        <w:t xml:space="preserve">Администрация Шебекинского муниципального округа  в соответствии со ст. 39.11 и 39.12 Земельного кодекса Российской Федерации </w:t>
        <w:br/>
        <w:t xml:space="preserve">и согласно </w:t>
      </w:r>
      <w:r>
        <w:rPr>
          <w:color w:val="000000"/>
        </w:rPr>
        <w:t xml:space="preserve">постановлению администрации Шебекинского муниципального округа </w:t>
      </w:r>
      <w:r>
        <w:rPr>
          <w:color w:val="000000"/>
        </w:rPr>
        <w:t xml:space="preserve">от 17 октября 2025 года № 1336 </w:t>
      </w:r>
      <w:r>
        <w:rPr>
          <w:color w:val="000000"/>
        </w:rPr>
        <w:t xml:space="preserve">«О продаже земельного участка на аукционе»,</w:t>
      </w:r>
      <w:r>
        <w:rPr>
          <w:color w:val="000000"/>
        </w:rPr>
        <w:t xml:space="preserve"> постановлени</w:t>
      </w:r>
      <w:r>
        <w:rPr>
          <w:color w:val="000000"/>
        </w:rPr>
        <w:t xml:space="preserve">ю</w:t>
      </w:r>
      <w:r>
        <w:rPr>
          <w:color w:val="000000"/>
        </w:rPr>
        <w:t xml:space="preserve"> администрации Шебекинского муниципального округа </w:t>
      </w:r>
      <w:r>
        <w:rPr>
          <w:color w:val="000000"/>
        </w:rPr>
        <w:t xml:space="preserve">от </w:t>
      </w:r>
      <w:r>
        <w:rPr>
          <w:color w:val="000000"/>
        </w:rPr>
        <w:t xml:space="preserve">20 октября</w:t>
      </w:r>
      <w:r>
        <w:rPr>
          <w:color w:val="000000"/>
        </w:rPr>
        <w:t xml:space="preserve"> 2025 года № </w:t>
      </w:r>
      <w:r>
        <w:rPr>
          <w:color w:val="000000"/>
        </w:rPr>
        <w:t xml:space="preserve">1341 </w:t>
      </w:r>
      <w:r>
        <w:rPr>
          <w:color w:val="000000"/>
        </w:rPr>
        <w:t xml:space="preserve">«О продаже земельного участка на аукционе», постановлени</w:t>
      </w:r>
      <w:r>
        <w:rPr>
          <w:color w:val="000000"/>
        </w:rPr>
        <w:t xml:space="preserve">ю</w:t>
      </w:r>
      <w:r>
        <w:rPr>
          <w:color w:val="000000"/>
        </w:rPr>
        <w:t xml:space="preserve"> администрации Шебекинского муниципального округа </w:t>
      </w:r>
      <w:r>
        <w:rPr>
          <w:color w:val="000000"/>
        </w:rPr>
        <w:t xml:space="preserve">от </w:t>
      </w:r>
      <w:r>
        <w:rPr>
          <w:color w:val="000000"/>
        </w:rPr>
        <w:t xml:space="preserve">20 октября</w:t>
      </w:r>
      <w:r>
        <w:rPr>
          <w:color w:val="000000"/>
        </w:rPr>
        <w:t xml:space="preserve"> 2025 года № </w:t>
      </w:r>
      <w:r>
        <w:rPr>
          <w:color w:val="000000"/>
        </w:rPr>
        <w:t xml:space="preserve">1342 </w:t>
      </w:r>
      <w:r>
        <w:rPr>
          <w:color w:val="000000"/>
        </w:rPr>
        <w:t xml:space="preserve">«О продаже земельного участка на аукционе» сообщает о проведении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3 декабря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</w:rPr>
        <w:t xml:space="preserve">2025 года в 10 час. 00 мин</w:t>
      </w:r>
      <w:r>
        <w:rPr>
          <w:color w:val="000000"/>
        </w:rPr>
        <w:t xml:space="preserve"> в сети интернет по адресу </w:t>
      </w:r>
      <w:hyperlink r:id="rId9" w:tooltip="https://www.rts-tender.ru/" w:history="1">
        <w:r>
          <w:rPr>
            <w:rStyle w:val="706"/>
            <w:color w:val="000000"/>
          </w:rPr>
          <w:t xml:space="preserve">https://www.rts-tender.ru</w:t>
        </w:r>
      </w:hyperlink>
      <w:r>
        <w:rPr>
          <w:color w:val="000000"/>
        </w:rPr>
        <w:t xml:space="preserve"> </w:t>
      </w:r>
      <w:r>
        <w:rPr>
          <w:color w:val="000000"/>
        </w:rPr>
        <w:t xml:space="preserve">аукциона в электронной форме </w:t>
      </w:r>
      <w:r>
        <w:rPr>
          <w:b/>
          <w:color w:val="000000"/>
          <w:u w:val="single"/>
        </w:rPr>
        <w:t xml:space="preserve">торгов по продаже земельного участка, </w:t>
      </w:r>
      <w:r>
        <w:rPr>
          <w:b/>
          <w:color w:val="000000"/>
          <w:u w:val="single"/>
        </w:rPr>
        <w:t xml:space="preserve">государственная собственность на которые не разграничена</w:t>
      </w:r>
      <w:r>
        <w:rPr>
          <w:b/>
          <w:color w:val="000000"/>
          <w:u w:val="single"/>
        </w:rPr>
        <w:t xml:space="preserve">.</w:t>
      </w:r>
      <w:r/>
    </w:p>
    <w:p>
      <w:pPr>
        <w:pStyle w:val="656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  <w:t xml:space="preserve">1.Организатор торгов: </w:t>
      </w:r>
      <w:r>
        <w:t xml:space="preserve">Администрация Шебекинского муниципального округа ИНН 3120103589, ОГРН 1183123036920, адрес: 309290, Российская Федерация, Белгородская область, город Шебекино, пл. Центральная, 2, тел. (47248) 3-29-77, </w:t>
      </w:r>
      <w:r>
        <w:br w:type="textWrapping" w:clear="all"/>
      </w:r>
      <w:hyperlink r:id="rId10" w:tooltip="https://shebekinskoe-r31.gosweb.gosuslugi.ru/" w:history="1">
        <w:r>
          <w:rPr>
            <w:rStyle w:val="706"/>
          </w:rPr>
          <w:t xml:space="preserve">https://shebekinskoe-r31.gosweb.gosuslugi.ru/</w:t>
        </w:r>
      </w:hyperlink>
      <w:r>
        <w:t xml:space="preserve">, эл.адрес: </w:t>
      </w:r>
      <w:hyperlink r:id="rId11" w:tooltip="mailto:zemlya112@mail.ru" w:history="1">
        <w:r>
          <w:rPr>
            <w:rStyle w:val="706"/>
          </w:rPr>
          <w:t xml:space="preserve">zemlya112@</w:t>
        </w:r>
        <w:r>
          <w:rPr>
            <w:rStyle w:val="706"/>
            <w:lang w:val="en-US"/>
          </w:rPr>
          <w:t xml:space="preserve">mail</w:t>
        </w:r>
        <w:r>
          <w:rPr>
            <w:rStyle w:val="706"/>
          </w:rPr>
          <w:t xml:space="preserve">.</w:t>
        </w:r>
        <w:r>
          <w:rPr>
            <w:rStyle w:val="706"/>
            <w:lang w:val="en-US"/>
          </w:rPr>
          <w:t xml:space="preserve">ru</w:t>
        </w:r>
      </w:hyperlink>
      <w:r>
        <w:t xml:space="preserve"> </w:t>
      </w:r>
      <w:r>
        <w:rPr>
          <w:b/>
        </w:rPr>
      </w:r>
      <w:r>
        <w:rPr>
          <w:b/>
        </w:rPr>
      </w:r>
    </w:p>
    <w:p>
      <w:pPr>
        <w:pStyle w:val="656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56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  <w:t xml:space="preserve">2.Характеристика предмета аукциона:</w:t>
      </w:r>
      <w:r>
        <w:rPr>
          <w:b/>
        </w:rPr>
      </w:r>
      <w:r>
        <w:rPr>
          <w:b/>
        </w:rPr>
      </w:r>
    </w:p>
    <w:p>
      <w:pPr>
        <w:pStyle w:val="656"/>
        <w:jc w:val="both"/>
        <w:tabs>
          <w:tab w:val="left" w:pos="0" w:leader="none"/>
          <w:tab w:val="left" w:pos="284" w:leader="none"/>
          <w:tab w:val="clear" w:pos="708" w:leader="none"/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pPr w:horzAnchor="margin" w:tblpXSpec="center" w:vertAnchor="text" w:tblpY="46" w:leftFromText="180" w:topFromText="0" w:rightFromText="180" w:bottomFromText="0"/>
        <w:tblW w:w="1507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0"/>
        <w:gridCol w:w="1964"/>
        <w:gridCol w:w="1936"/>
        <w:gridCol w:w="1095"/>
        <w:gridCol w:w="1349"/>
        <w:gridCol w:w="1621"/>
        <w:gridCol w:w="1650"/>
        <w:gridCol w:w="1142"/>
        <w:gridCol w:w="2339"/>
        <w:gridCol w:w="1588"/>
      </w:tblGrid>
      <w:tr>
        <w:tblPrEx/>
        <w:trPr>
          <w:cantSplit/>
          <w:trHeight w:val="1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656"/>
              <w:ind w:left="0" w:right="0" w:firstLine="0"/>
              <w:jc w:val="center"/>
              <w:spacing w:before="0" w:after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лота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 w:val="false"/>
          </w:tcPr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Кадастровый номер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 w:val="false"/>
          </w:tcPr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Местополо-жение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земельного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Площадь земель-ного участка, 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Целевое назначение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участка/ категория земель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Начальная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jc w:val="center"/>
              <w:tabs>
                <w:tab w:val="clear" w:pos="708" w:leader="none"/>
                <w:tab w:val="left" w:pos="1188" w:leader="none"/>
              </w:tabs>
            </w:pPr>
            <w:r>
              <w:rPr>
                <w:b/>
                <w:sz w:val="20"/>
                <w:szCs w:val="20"/>
              </w:rPr>
              <w:t xml:space="preserve">цена арендной платы в год,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Шаг аукциона 3%,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Размер задатка, 90%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ограничениях/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обременениях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b/>
                <w:sz w:val="20"/>
                <w:szCs w:val="20"/>
              </w:rPr>
              <w:t xml:space="preserve">Предельные параметры разрешенного строительства</w:t>
            </w:r>
            <w:r/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656"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 w:val="false"/>
          </w:tcPr>
          <w:p>
            <w:pPr>
              <w:pStyle w:val="656"/>
            </w:pPr>
            <w:r>
              <w:rPr>
                <w:bCs/>
                <w:sz w:val="20"/>
                <w:szCs w:val="20"/>
              </w:rPr>
              <w:t xml:space="preserve">31:17:0201001:183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Белгородская обл.,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Шебекинский район, с.Боровское, ул.Заречная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4178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Для ведения личного подсобного хозяйства/ земли населенных пунктов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235680,98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7070,43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212112,89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Земельный участок содержит или может содержать ограничения в использовании, предусмотренные статьями 56, 56.1 Земельного кодекса РФ.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6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в границах земельного участка для основного вида </w:t>
            </w:r>
            <w:r>
              <w:rPr>
                <w:color w:val="000000"/>
                <w:sz w:val="20"/>
                <w:szCs w:val="20"/>
              </w:rPr>
              <w:t xml:space="preserve">– 30%</w:t>
            </w:r>
            <w:r/>
          </w:p>
        </w:tc>
      </w:tr>
      <w:tr>
        <w:tblPrEx/>
        <w:trPr>
          <w:cantSplit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656"/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 w:val="false"/>
          </w:tcPr>
          <w:p>
            <w:pPr>
              <w:pStyle w:val="656"/>
            </w:pPr>
            <w:r>
              <w:rPr>
                <w:bCs/>
                <w:sz w:val="20"/>
                <w:szCs w:val="20"/>
              </w:rPr>
              <w:t xml:space="preserve">31:17:0802014:386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Белгородская обл.,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Шебекинский район, с.Большетроицкое, ул.Садовая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2700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Для ведения личного подсобного хозяйства/ земли населенных пунктов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204903,00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6147,09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184412,70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65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Земельный участок содержит или может содержать ограничения в использовании, предусмотренные статьями 56, 56.1 Земельного кодекса РФ.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6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в границах земельного участка для основного вида </w:t>
            </w:r>
            <w:r>
              <w:rPr>
                <w:color w:val="000000"/>
                <w:sz w:val="20"/>
                <w:szCs w:val="20"/>
              </w:rPr>
              <w:t xml:space="preserve">– 30%</w:t>
            </w:r>
            <w:r/>
          </w:p>
        </w:tc>
      </w:tr>
      <w:tr>
        <w:tblPrEx/>
        <w:trPr>
          <w:cantSplit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656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 w:val="false"/>
          </w:tcPr>
          <w:p>
            <w:pPr>
              <w:pStyle w:val="656"/>
            </w:pPr>
            <w:r>
              <w:rPr>
                <w:bCs/>
                <w:sz w:val="20"/>
                <w:szCs w:val="20"/>
              </w:rPr>
              <w:t xml:space="preserve">31:17:0203002:182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Белгородская обл.,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Шебекинский район, с.Неклюдово, ул.Советская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4674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Для ведения личного подсобного хозяйства/ земли населенных пунктов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276887,76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8306,6</w:t>
            </w:r>
            <w:r>
              <w:rPr>
                <w:rFonts w:eastAsia="Calibri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249198,99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65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656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Земельный участок содержит или может содержать ограничения в использовании, предусмотренные статьями 56, 56.1 Земельного кодекса РФ.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6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56"/>
              <w:jc w:val="center"/>
            </w:pPr>
            <w:r>
              <w:rPr>
                <w:sz w:val="20"/>
                <w:szCs w:val="20"/>
              </w:rPr>
              <w:t xml:space="preserve">в границах земельного участка для основного вида </w:t>
            </w:r>
            <w:r>
              <w:rPr>
                <w:color w:val="000000"/>
                <w:sz w:val="20"/>
                <w:szCs w:val="20"/>
              </w:rPr>
              <w:t xml:space="preserve">– 30%</w:t>
            </w:r>
            <w:r/>
          </w:p>
        </w:tc>
      </w:tr>
    </w:tbl>
    <w:p>
      <w:pPr>
        <w:pStyle w:val="656"/>
        <w:jc w:val="both"/>
      </w:pPr>
      <w:r/>
      <w:r/>
    </w:p>
    <w:p>
      <w:pPr>
        <w:pStyle w:val="656"/>
        <w:ind w:left="0" w:right="0" w:firstLine="0"/>
        <w:jc w:val="both"/>
        <w:spacing w:before="0" w:after="0"/>
        <w:widowControl/>
      </w:pPr>
      <w:r>
        <w:t xml:space="preserve">Участвовать в аукционе вправе</w:t>
      </w:r>
      <w:r>
        <w:t xml:space="preserve"> </w:t>
      </w:r>
      <w:r>
        <w:t xml:space="preserve">исключительно </w:t>
      </w:r>
      <w:r>
        <w:t xml:space="preserve">только </w:t>
      </w:r>
      <w:r>
        <w:t xml:space="preserve">физические лица</w:t>
      </w:r>
      <w:r>
        <w:rPr>
          <w:sz w:val="26"/>
          <w:szCs w:val="26"/>
        </w:rPr>
        <w:t xml:space="preserve">.</w:t>
      </w:r>
      <w:r/>
    </w:p>
    <w:p>
      <w:pPr>
        <w:pStyle w:val="656"/>
        <w:jc w:val="both"/>
        <w:rPr>
          <w:rFonts w:ascii="Times New Roman" w:hAnsi="Times New Roman" w:cs="Times New Roman"/>
          <w:b/>
        </w:rPr>
      </w:pPr>
      <w:r>
        <w:t xml:space="preserve">Границы земельного участка установлены в соответствии с требованиями земельного законодательства.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45"/>
        <w:jc w:val="both"/>
        <w:rPr>
          <w:rFonts w:ascii="Times New Roman" w:hAnsi="Times New Roman" w:cs="Times New Roman"/>
          <w:color w:val="c9211e"/>
        </w:rPr>
      </w:pPr>
      <w:r>
        <w:rPr>
          <w:rFonts w:ascii="Times New Roman" w:hAnsi="Times New Roman" w:cs="Times New Roman"/>
          <w:color w:val="c9211e"/>
        </w:rPr>
      </w:r>
      <w:r>
        <w:rPr>
          <w:rFonts w:ascii="Times New Roman" w:hAnsi="Times New Roman" w:cs="Times New Roman"/>
          <w:color w:val="c9211e"/>
        </w:rPr>
      </w:r>
    </w:p>
    <w:p>
      <w:pPr>
        <w:pStyle w:val="745"/>
        <w:jc w:val="both"/>
        <w:rPr>
          <w:rFonts w:ascii="Times New Roman" w:hAnsi="Times New Roman" w:cs="Times New Roman"/>
          <w:color w:val="c9211e"/>
        </w:rPr>
      </w:pPr>
      <w:r>
        <w:rPr>
          <w:rFonts w:ascii="Times New Roman" w:hAnsi="Times New Roman" w:cs="Times New Roman"/>
          <w:b/>
        </w:rPr>
        <w:t xml:space="preserve">3. Технические условия подключения объекта к сетям инженерно-технического обеспечения и информация о плате за подключение: </w:t>
      </w:r>
      <w:bookmarkStart w:id="0" w:name="_Hlk137135860"/>
      <w:r>
        <w:rPr>
          <w:rFonts w:ascii="Times New Roman" w:hAnsi="Times New Roman" w:cs="Times New Roman"/>
          <w:color w:val="c9211e"/>
        </w:rPr>
      </w:r>
      <w:r>
        <w:rPr>
          <w:rFonts w:ascii="Times New Roman" w:hAnsi="Times New Roman" w:cs="Times New Roman"/>
          <w:color w:val="c9211e"/>
        </w:rPr>
      </w:r>
    </w:p>
    <w:p>
      <w:pPr>
        <w:pStyle w:val="745"/>
        <w:ind w:right="0" w:firstLine="709"/>
        <w:jc w:val="both"/>
        <w:rPr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Принципиальная возможность подключения объектов капитального строительства к инженерным сетям имеется.</w:t>
      </w:r>
      <w:r>
        <w:rPr>
          <w:iCs/>
          <w:color w:val="auto"/>
        </w:rPr>
      </w:r>
      <w:r>
        <w:rPr>
          <w:iCs/>
          <w:color w:val="auto"/>
        </w:rPr>
      </w:r>
    </w:p>
    <w:p>
      <w:pPr>
        <w:pStyle w:val="656"/>
        <w:ind w:right="0" w:firstLine="709"/>
        <w:jc w:val="both"/>
        <w:rPr>
          <w:b/>
          <w:bCs/>
        </w:rPr>
      </w:pPr>
      <w:r/>
      <w:bookmarkEnd w:id="0"/>
      <w:r>
        <w:rPr>
          <w:iCs/>
        </w:rPr>
        <w:t xml:space="preserve">В стоимость земельного участка не входит плата за подключение объекта капитального строительства к инженерным сетям и (или) перенос </w:t>
      </w:r>
      <w:r>
        <w:rPr>
          <w:rFonts w:eastAsia="Calibri"/>
        </w:rPr>
        <w:t xml:space="preserve">инженерных коммуникаций</w:t>
      </w:r>
      <w:r>
        <w:rPr>
          <w:iCs/>
        </w:rPr>
        <w:t xml:space="preserve">, а также вынос границ в натуру.</w:t>
      </w:r>
      <w:r>
        <w:rPr>
          <w:b/>
          <w:bCs/>
        </w:rPr>
      </w:r>
      <w:r>
        <w:rPr>
          <w:b/>
          <w:bCs/>
        </w:rPr>
      </w:r>
    </w:p>
    <w:p>
      <w:pPr>
        <w:pStyle w:val="656"/>
        <w:jc w:val="both"/>
        <w:rPr>
          <w:color w:val="00000a"/>
        </w:rPr>
      </w:pPr>
      <w:r>
        <w:rPr>
          <w:b/>
          <w:bCs/>
        </w:rPr>
        <w:t xml:space="preserve">4.Место, даты и время начала и окончания приема заявок:</w:t>
      </w:r>
      <w:r>
        <w:t xml:space="preserve"> </w:t>
      </w:r>
      <w:r>
        <w:rPr>
          <w:rFonts w:eastAsia="Calibri"/>
        </w:rPr>
        <w:t xml:space="preserve">Место подачи (приема) Заявок: электронная площадка </w:t>
      </w:r>
      <w:hyperlink r:id="rId12" w:tooltip="http://www.rts-tender.ru/" w:history="1">
        <w:r>
          <w:rPr>
            <w:rStyle w:val="706"/>
            <w:rFonts w:eastAsia="Calibri"/>
          </w:rPr>
          <w:t xml:space="preserve">www.rts-tender.ru</w:t>
        </w:r>
      </w:hyperlink>
      <w:r>
        <w:rPr>
          <w:rFonts w:eastAsia="Calibri"/>
        </w:rPr>
        <w:t xml:space="preserve">. </w:t>
      </w:r>
      <w:r>
        <w:rPr>
          <w:color w:val="00000a"/>
        </w:rPr>
      </w:r>
      <w:r>
        <w:rPr>
          <w:color w:val="00000a"/>
        </w:rPr>
      </w:r>
    </w:p>
    <w:p>
      <w:pPr>
        <w:pStyle w:val="656"/>
        <w:jc w:val="both"/>
      </w:pPr>
      <w:r>
        <w:rPr>
          <w:color w:val="00000a"/>
        </w:rPr>
        <w:t xml:space="preserve">Прием заявок на участие в аукционе осуществляется </w:t>
      </w:r>
      <w:r>
        <w:rPr>
          <w:b/>
          <w:bCs/>
          <w:color w:val="00000a"/>
        </w:rPr>
        <w:t xml:space="preserve">с</w:t>
      </w:r>
      <w:r>
        <w:rPr>
          <w:color w:val="00000a"/>
        </w:rPr>
        <w:t xml:space="preserve"> </w:t>
      </w:r>
      <w:r>
        <w:rPr>
          <w:b/>
          <w:bCs/>
          <w:color w:val="00000a"/>
        </w:rPr>
        <w:t xml:space="preserve">7 но</w:t>
      </w:r>
      <w:r>
        <w:rPr>
          <w:b/>
          <w:color w:val="00000a"/>
        </w:rPr>
        <w:t xml:space="preserve">ября 2025 г. с 10.00 и прекращается в 12 часов 00 минут </w:t>
      </w:r>
      <w:r>
        <w:rPr>
          <w:b/>
          <w:color w:val="00000a"/>
        </w:rPr>
        <w:t xml:space="preserve">28</w:t>
      </w:r>
      <w:r>
        <w:rPr>
          <w:b/>
          <w:color w:val="00000a"/>
        </w:rPr>
        <w:t xml:space="preserve"> ноября 2025 года</w:t>
      </w:r>
      <w:r>
        <w:rPr>
          <w:color w:val="00000a"/>
        </w:rPr>
        <w:t xml:space="preserve">, </w:t>
      </w:r>
      <w:r/>
    </w:p>
    <w:p>
      <w:pPr>
        <w:pStyle w:val="656"/>
        <w:jc w:val="both"/>
        <w:rPr>
          <w:b/>
          <w:bCs/>
        </w:rPr>
      </w:pPr>
      <w:r>
        <w:t xml:space="preserve">Место подачи (приема) заявок:</w:t>
      </w:r>
      <w:r>
        <w:rPr>
          <w:rStyle w:val="706"/>
          <w:u w:val="none"/>
        </w:rPr>
        <w:t xml:space="preserve"> </w:t>
      </w:r>
      <w:r>
        <w:t xml:space="preserve">электронная площадка </w:t>
      </w:r>
      <w:hyperlink r:id="rId13" w:tooltip="http://www.rts-tender.ru/" w:history="1">
        <w:r>
          <w:rPr>
            <w:rStyle w:val="706"/>
            <w:lang w:val="en-US"/>
          </w:rPr>
          <w:t xml:space="preserve">www</w:t>
        </w:r>
        <w:r>
          <w:rPr>
            <w:rStyle w:val="706"/>
          </w:rPr>
          <w:t xml:space="preserve">.</w:t>
        </w:r>
        <w:r>
          <w:rPr>
            <w:rStyle w:val="706"/>
            <w:lang w:val="en-US"/>
          </w:rPr>
          <w:t xml:space="preserve">rts</w:t>
        </w:r>
        <w:r>
          <w:rPr>
            <w:rStyle w:val="706"/>
          </w:rPr>
          <w:t xml:space="preserve">-</w:t>
        </w:r>
        <w:r>
          <w:rPr>
            <w:rStyle w:val="706"/>
            <w:lang w:val="en-US"/>
          </w:rPr>
          <w:t xml:space="preserve">tender</w:t>
        </w:r>
        <w:r>
          <w:rPr>
            <w:rStyle w:val="706"/>
          </w:rPr>
          <w:t xml:space="preserve">.</w:t>
        </w:r>
        <w:r>
          <w:rPr>
            <w:rStyle w:val="706"/>
            <w:lang w:val="en-US"/>
          </w:rPr>
          <w:t xml:space="preserve">ru</w:t>
        </w:r>
      </w:hyperlink>
      <w:r>
        <w:t xml:space="preserve"> </w:t>
      </w:r>
      <w:r>
        <w:rPr>
          <w:bCs/>
        </w:rPr>
        <w:t xml:space="preserve">(Оператор </w:t>
      </w:r>
      <w:r>
        <w:rPr>
          <w:rFonts w:eastAsia="Calibri"/>
        </w:rPr>
        <w:t xml:space="preserve">электронной площадки</w:t>
      </w:r>
      <w:r>
        <w:rPr>
          <w:bCs/>
        </w:rPr>
        <w:t xml:space="preserve">).</w:t>
      </w:r>
      <w:r>
        <w:rPr>
          <w:b/>
          <w:bCs/>
        </w:rPr>
      </w:r>
      <w:r>
        <w:rPr>
          <w:b/>
          <w:bCs/>
        </w:rPr>
      </w:r>
    </w:p>
    <w:p>
      <w:pPr>
        <w:pStyle w:val="656"/>
        <w:jc w:val="both"/>
        <w:rPr>
          <w:b/>
        </w:rPr>
      </w:pPr>
      <w:r>
        <w:rPr>
          <w:b/>
          <w:bCs/>
        </w:rPr>
        <w:t xml:space="preserve">5. Дата рассмотрения заявок: </w:t>
      </w:r>
      <w:r>
        <w:rPr>
          <w:b/>
          <w:bCs/>
        </w:rPr>
        <w:t xml:space="preserve">1</w:t>
      </w:r>
      <w:r>
        <w:rPr>
          <w:b/>
          <w:color w:val="00000a"/>
        </w:rPr>
        <w:t xml:space="preserve"> </w:t>
      </w:r>
      <w:r>
        <w:rPr>
          <w:b/>
          <w:color w:val="00000a"/>
        </w:rPr>
        <w:t xml:space="preserve">дека</w:t>
      </w:r>
      <w:r>
        <w:rPr>
          <w:b/>
          <w:color w:val="00000a"/>
        </w:rPr>
        <w:t xml:space="preserve">бря 2025 года</w:t>
      </w:r>
      <w:r>
        <w:rPr>
          <w:b/>
        </w:rPr>
      </w:r>
      <w:r>
        <w:rPr>
          <w:b/>
        </w:rPr>
      </w:r>
    </w:p>
    <w:p>
      <w:pPr>
        <w:pStyle w:val="656"/>
        <w:jc w:val="both"/>
        <w:rPr>
          <w:rFonts w:eastAsia="Calibri"/>
          <w:lang w:eastAsia="en-US"/>
        </w:rPr>
      </w:pPr>
      <w:r>
        <w:rPr>
          <w:b/>
        </w:rPr>
        <w:t xml:space="preserve">6. Порядок приема заявок и требования к оформлению заявки: </w:t>
      </w:r>
      <w:r>
        <w:rPr>
          <w:rFonts w:eastAsia="Calibri"/>
        </w:rPr>
        <w:t xml:space="preserve">Заявка на участие в аукционе должна быть по установленной в извещении </w:t>
      </w:r>
      <w:r>
        <w:rPr>
          <w:rFonts w:eastAsia="Calibri"/>
        </w:rPr>
        <w:br w:type="textWrapping" w:clear="all"/>
      </w:r>
      <w:r>
        <w:rPr>
          <w:rFonts w:eastAsia="Calibri"/>
        </w:rPr>
        <w:t xml:space="preserve">о проведении аукциона форме с указанием банковских реквизитов счета для возврата задатка.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56"/>
        <w:ind w:right="0" w:firstLine="709"/>
        <w:jc w:val="both"/>
      </w:pPr>
      <w:r>
        <w:rPr>
          <w:rFonts w:eastAsia="Calibri"/>
          <w:lang w:eastAsia="en-US"/>
        </w:rPr>
        <w:t xml:space="preserve">Заявка подается путем заполнения формы заявки (прилагается),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iCs/>
        </w:rPr>
        <w:t xml:space="preserve">. </w:t>
      </w:r>
      <w:r>
        <w:t xml:space="preserve">Один заявитель вправе подать только одну заявку на участие в аукционе.</w:t>
      </w:r>
      <w:r/>
    </w:p>
    <w:p>
      <w:pPr>
        <w:pStyle w:val="656"/>
        <w:ind w:right="0" w:firstLine="709"/>
        <w:jc w:val="both"/>
        <w:rPr>
          <w:bCs/>
        </w:rPr>
      </w:pPr>
      <w: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bCs/>
        </w:rPr>
      </w:r>
      <w:r>
        <w:rPr>
          <w:bCs/>
        </w:rPr>
      </w:r>
    </w:p>
    <w:p>
      <w:pPr>
        <w:pStyle w:val="656"/>
        <w:ind w:right="0" w:firstLine="709"/>
        <w:jc w:val="both"/>
        <w:rPr>
          <w:bCs/>
        </w:rPr>
      </w:pPr>
      <w:r>
        <w:rPr>
          <w:bCs/>
        </w:rPr>
        <w:t xml:space="preserve">Для участия в аукционе заявители представляют в установленный в извещении о проведении аукциона срок следующие документы</w:t>
      </w:r>
      <w:r>
        <w:t xml:space="preserve">:</w:t>
      </w:r>
      <w:r>
        <w:rPr>
          <w:bCs/>
        </w:rPr>
      </w:r>
      <w:r>
        <w:rPr>
          <w:bCs/>
        </w:rPr>
      </w:r>
    </w:p>
    <w:p>
      <w:pPr>
        <w:pStyle w:val="656"/>
        <w:jc w:val="both"/>
        <w:rPr>
          <w:rFonts w:eastAsia="Calibri"/>
        </w:rPr>
      </w:pPr>
      <w:r>
        <w:rPr>
          <w:bCs/>
        </w:rPr>
        <w:t xml:space="preserve">1) заявка на участие (форма прилагается к извещению)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56"/>
        <w:jc w:val="both"/>
        <w:rPr>
          <w:rFonts w:eastAsia="Calibri"/>
        </w:rPr>
      </w:pPr>
      <w:r>
        <w:rPr>
          <w:rFonts w:eastAsia="Calibri"/>
        </w:rPr>
        <w:t xml:space="preserve">2) </w:t>
      </w:r>
      <w:hyperlink r:id="rId14" w:tooltip="https://login.consultant.ru/link/?req=doc&amp;base=LAW&amp;n=465174&amp;dst=100008" w:history="1">
        <w:r>
          <w:rPr>
            <w:rStyle w:val="706"/>
            <w:rFonts w:eastAsia="Calibri"/>
            <w:color w:val="000000"/>
            <w:u w:val="none"/>
          </w:rPr>
          <w:t xml:space="preserve">копии</w:t>
        </w:r>
      </w:hyperlink>
      <w:r>
        <w:rPr>
          <w:rFonts w:eastAsia="Calibri"/>
        </w:rPr>
        <w:t xml:space="preserve"> документов, удостоверяющих личность заявителя (для граждан);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56"/>
        <w:jc w:val="both"/>
      </w:pPr>
      <w:r>
        <w:rPr>
          <w:rFonts w:eastAsia="Calibri"/>
        </w:rPr>
        <w:t xml:space="preserve">3) документы, подтверждающие внесение задатка.</w:t>
      </w:r>
      <w:r/>
    </w:p>
    <w:p>
      <w:pPr>
        <w:pStyle w:val="656"/>
        <w:ind w:right="0" w:firstLine="709"/>
        <w:jc w:val="both"/>
      </w:pPr>
      <w:r>
        <w:t xml:space="preserve">Для обеспечения доступа к участию в аукционе заявителям необходимо пройти регистрацию в соответствии с Регламентом электронной площадки оператора аукциона </w:t>
      </w:r>
      <w:hyperlink r:id="rId15" w:tooltip="https://www.rts-tender.ru/" w:history="1">
        <w:r>
          <w:rPr>
            <w:rStyle w:val="706"/>
          </w:rPr>
          <w:t xml:space="preserve">www.rts-tender.ru</w:t>
        </w:r>
      </w:hyperlink>
      <w:r>
        <w:t xml:space="preserve"> (далее – электронная площадка). </w:t>
      </w:r>
      <w:r/>
    </w:p>
    <w:p>
      <w:pPr>
        <w:pStyle w:val="656"/>
        <w:ind w:right="0" w:firstLine="709"/>
        <w:jc w:val="both"/>
      </w:pPr>
      <w:r>
        <w:t xml:space="preserve">Предусмотрена плата Оператору электронной площадки за участие в электронном аукционе в соответствии с Регламентом и Инструкциями </w:t>
      </w:r>
      <w:r>
        <w:br w:type="textWrapping" w:clear="all"/>
      </w:r>
      <w:r>
        <w:t xml:space="preserve">в р</w:t>
      </w:r>
      <w:r>
        <w:rPr>
          <w:shd w:val="clear" w:color="auto" w:fill="ffffff"/>
        </w:rPr>
        <w:t xml:space="preserve">азмере тарифов </w:t>
      </w:r>
      <w:r>
        <w:t xml:space="preserve">Оператора электронной площадки</w:t>
      </w:r>
      <w:r>
        <w:rPr>
          <w:shd w:val="clear" w:color="auto" w:fill="ffffff"/>
        </w:rPr>
        <w:t xml:space="preserve">.</w:t>
      </w:r>
      <w:r/>
    </w:p>
    <w:p>
      <w:pPr>
        <w:pStyle w:val="656"/>
        <w:ind w:right="0" w:firstLine="709"/>
        <w:jc w:val="both"/>
        <w:rPr>
          <w:b/>
          <w:bCs/>
        </w:rPr>
      </w:pPr>
      <w:r>
        <w:t xml:space="preserve">Порядок работы заявителя на электронной площадке, системные требования и требования к программному обеспечению устанавливаются оператором аукциона и размещены на его сайте </w:t>
      </w:r>
      <w:hyperlink r:id="rId16" w:tooltip="http://help.rts-tender.ru/" w:history="1">
        <w:r>
          <w:rPr>
            <w:rStyle w:val="706"/>
          </w:rPr>
          <w:t xml:space="preserve">http://help.rts-tender.ru/</w:t>
        </w:r>
      </w:hyperlink>
      <w: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656"/>
        <w:jc w:val="both"/>
        <w:tabs>
          <w:tab w:val="clear" w:pos="708" w:leader="none"/>
          <w:tab w:val="left" w:pos="4678" w:leader="none"/>
        </w:tabs>
        <w:rPr>
          <w:rStyle w:val="708"/>
          <w:color w:val="202020"/>
        </w:rPr>
      </w:pPr>
      <w:r>
        <w:rPr>
          <w:b/>
          <w:bCs/>
        </w:rPr>
        <w:t xml:space="preserve">7.Порядок внесения и возврата задатка: </w:t>
      </w:r>
      <w:r>
        <w:rPr>
          <w:bCs/>
        </w:rPr>
        <w:t xml:space="preserve">Задаток должен поступить на расчетный счет оператора электронной площадки не позднее даты окончания приема заявок</w:t>
      </w:r>
      <w:r>
        <w:t xml:space="preserve"> по следующим реквизитам </w:t>
      </w:r>
      <w:r>
        <w:rPr>
          <w:rStyle w:val="708"/>
          <w:color w:val="202020"/>
        </w:rPr>
      </w:r>
      <w:r>
        <w:rPr>
          <w:rStyle w:val="708"/>
          <w:color w:val="202020"/>
        </w:rPr>
      </w:r>
    </w:p>
    <w:tbl>
      <w:tblPr>
        <w:tblW w:w="9771" w:type="dxa"/>
        <w:tblInd w:w="734" w:type="dxa"/>
        <w:tblLayout w:type="fixed"/>
        <w:tblCellMar>
          <w:left w:w="60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95"/>
        <w:gridCol w:w="6275"/>
      </w:tblGrid>
      <w:tr>
        <w:tblPrEx/>
        <w:trPr>
          <w:trHeight w:val="32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Получатель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ООО «РТС-тендер»</w:t>
            </w:r>
            <w:r/>
          </w:p>
        </w:tc>
      </w:tr>
      <w:tr>
        <w:tblPrEx/>
        <w:trPr>
          <w:trHeight w:val="20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Наименование банка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Филиал «Корпоративный» ПАО «Совкомбанк»</w:t>
            </w:r>
            <w:r/>
          </w:p>
        </w:tc>
      </w:tr>
      <w:tr>
        <w:tblPrEx/>
        <w:trPr>
          <w:trHeight w:val="156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Расчетный счёт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40702810512030016362</w:t>
            </w:r>
            <w:r/>
          </w:p>
        </w:tc>
      </w:tr>
      <w:tr>
        <w:tblPrEx/>
        <w:trPr>
          <w:trHeight w:val="119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Корр. счёт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30101810445250000360</w:t>
            </w:r>
            <w:r/>
          </w:p>
        </w:tc>
      </w:tr>
      <w:tr>
        <w:tblPrEx/>
        <w:trPr>
          <w:trHeight w:val="208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БИК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044525360</w:t>
            </w:r>
            <w:r/>
          </w:p>
        </w:tc>
      </w:tr>
      <w:tr>
        <w:tblPrEx/>
        <w:trPr>
          <w:trHeight w:val="143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ИНН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7710357167</w:t>
            </w:r>
            <w:r/>
          </w:p>
        </w:tc>
      </w:tr>
      <w:tr>
        <w:tblPrEx/>
        <w:trPr>
          <w:trHeight w:val="91"/>
        </w:trPr>
        <w:tc>
          <w:tcPr>
            <w:shd w:val="clear" w:color="auto" w:fill="fbfbfb"/>
            <w:tcW w:w="349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КПП</w:t>
            </w:r>
            <w:r/>
          </w:p>
        </w:tc>
        <w:tc>
          <w:tcPr>
            <w:shd w:val="clear" w:color="auto" w:fill="fbfbfb"/>
            <w:tcW w:w="6275" w:type="dxa"/>
            <w:vAlign w:val="center"/>
            <w:textDirection w:val="lrTb"/>
            <w:noWrap w:val="false"/>
          </w:tcPr>
          <w:p>
            <w:pPr>
              <w:pStyle w:val="656"/>
            </w:pPr>
            <w:r>
              <w:rPr>
                <w:rStyle w:val="708"/>
                <w:color w:val="202020"/>
              </w:rPr>
              <w:t xml:space="preserve">773001001</w:t>
            </w:r>
            <w:r/>
          </w:p>
        </w:tc>
      </w:tr>
    </w:tbl>
    <w:p>
      <w:pPr>
        <w:pStyle w:val="656"/>
        <w:jc w:val="both"/>
        <w:tabs>
          <w:tab w:val="clear" w:pos="708" w:leader="none"/>
          <w:tab w:val="left" w:pos="4678" w:leader="none"/>
        </w:tabs>
        <w:rPr>
          <w:rFonts w:eastAsia="Calibri"/>
        </w:rPr>
      </w:pPr>
      <w:r>
        <w:rPr>
          <w:rStyle w:val="708"/>
          <w:bCs/>
          <w:color w:val="202020"/>
        </w:rPr>
        <w:t xml:space="preserve">Назначение платежа: </w:t>
      </w:r>
      <w:r>
        <w:rPr>
          <w:rStyle w:val="708"/>
          <w:color w:val="202020"/>
          <w:shd w:val="clear" w:color="auto" w:fill="fbfbfb"/>
        </w:rPr>
        <w:t xml:space="preserve">Внесение гарантийного обеспечения по Соглашению о внесении гарантийного</w:t>
      </w:r>
      <w:r>
        <w:rPr>
          <w:rStyle w:val="708"/>
          <w:color w:val="202020"/>
        </w:rPr>
        <w:br w:type="textWrapping" w:clear="all"/>
      </w:r>
      <w:r>
        <w:rPr>
          <w:rStyle w:val="708"/>
          <w:color w:val="202020"/>
          <w:shd w:val="clear" w:color="auto" w:fill="fbfbfb"/>
        </w:rPr>
        <w:t xml:space="preserve">обеспечения, № аналитического счета _________, без НДС.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56"/>
        <w:ind w:right="0" w:firstLine="709"/>
        <w:jc w:val="both"/>
        <w:tabs>
          <w:tab w:val="clear" w:pos="708" w:leader="none"/>
          <w:tab w:val="left" w:pos="4678" w:leader="none"/>
        </w:tabs>
      </w:pPr>
      <w:r>
        <w:rPr>
          <w:rFonts w:eastAsia="Calibri"/>
        </w:rPr>
        <w:t xml:space="preserve">Оператор электронной площадки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/>
    </w:p>
    <w:p>
      <w:pPr>
        <w:pStyle w:val="656"/>
        <w:ind w:right="0" w:firstLine="709"/>
        <w:jc w:val="both"/>
        <w:rPr>
          <w:rFonts w:eastAsia="Calibri"/>
        </w:rPr>
      </w:pPr>
      <w:r>
        <w:t xml:space="preserve">В</w:t>
      </w:r>
      <w:r>
        <w:rPr>
          <w:rFonts w:eastAsia="Calibri"/>
        </w:rPr>
        <w:t xml:space="preserve"> течение трех рабочих дней со дня подписания протокола о результатах аукциона Оператор электронной площадки обязан возвратить задатки лицам, участвовавшим в аукционе, но не победившим в нем, з</w:t>
      </w:r>
      <w:r>
        <w:rPr>
          <w:rFonts w:eastAsia="Calibri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56"/>
        <w:ind w:right="0" w:firstLine="709"/>
        <w:jc w:val="both"/>
        <w:rPr>
          <w:rFonts w:eastAsia="Calibri"/>
        </w:rPr>
      </w:pPr>
      <w:r>
        <w:rPr>
          <w:rFonts w:eastAsia="Calibri"/>
        </w:rPr>
        <w:t xml:space="preserve">Задаток, внесенный лицом, признанным победителем аукциона, засчитывается в оплату приобретаемого земельного участка за него. 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56"/>
        <w:ind w:right="0" w:firstLine="709"/>
        <w:jc w:val="both"/>
        <w:rPr>
          <w:b/>
          <w:bCs/>
        </w:rPr>
      </w:pPr>
      <w:r>
        <w:rPr>
          <w:rFonts w:eastAsia="Calibri"/>
        </w:rPr>
        <w:t xml:space="preserve">Задатки, внесенные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  <w:r>
        <w:rPr>
          <w:b/>
          <w:bCs/>
        </w:rPr>
      </w:r>
      <w:r>
        <w:rPr>
          <w:b/>
          <w:bCs/>
        </w:rPr>
      </w:r>
    </w:p>
    <w:p>
      <w:pPr>
        <w:pStyle w:val="747"/>
        <w:ind w:left="0" w:right="0" w:firstLine="0"/>
        <w:jc w:val="both"/>
        <w:spacing w:line="100" w:lineRule="atLeast"/>
        <w:rPr>
          <w:b/>
          <w:bCs/>
        </w:rPr>
      </w:pPr>
      <w:r>
        <w:rPr>
          <w:b/>
          <w:bCs/>
        </w:rPr>
        <w:t xml:space="preserve">8.Порядок и срок отзыва заявок: </w:t>
      </w:r>
      <w:r>
        <w:t xml:space="preserve">Претендент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</w:t>
      </w:r>
      <w:r>
        <w:rPr>
          <w:rFonts w:eastAsia="Calibri"/>
        </w:rPr>
        <w:t xml:space="preserve"> Оператора электронной площадки</w:t>
      </w:r>
      <w:r>
        <w:t xml:space="preserve">. </w:t>
      </w:r>
      <w:r>
        <w:rPr>
          <w:rFonts w:eastAsia="Calibri"/>
        </w:rPr>
        <w:t xml:space="preserve">Оператор электронной площадки</w:t>
      </w:r>
      <w:r>
        <w:t xml:space="preserve"> аукциона обязан возвратить заявителю внесенный им задаток в течение трех рабочих дней со дня поступления уведомления об отзыве заявки.</w:t>
      </w:r>
      <w:r>
        <w:rPr>
          <w:b/>
          <w:bCs/>
        </w:rPr>
      </w:r>
      <w:r>
        <w:rPr>
          <w:b/>
          <w:bCs/>
        </w:rPr>
      </w:r>
    </w:p>
    <w:p>
      <w:pPr>
        <w:pStyle w:val="747"/>
        <w:ind w:left="0" w:right="0" w:firstLine="0"/>
        <w:jc w:val="both"/>
        <w:spacing w:line="100" w:lineRule="atLeast"/>
        <w:rPr>
          <w:b/>
          <w:bCs/>
        </w:rPr>
      </w:pPr>
      <w:r>
        <w:rPr>
          <w:b/>
          <w:bCs/>
        </w:rPr>
        <w:t xml:space="preserve">9. Порядок проведения аукциона и определения победителя: Аукцион проводится в порядке, установленном электронной площадкой </w:t>
      </w:r>
      <w:r>
        <w:rPr>
          <w:b/>
          <w:bCs/>
        </w:rPr>
        <w:br w:type="textWrapping" w:clear="all"/>
      </w:r>
      <w:hyperlink r:id="rId17" w:tooltip="http://www.rts-tender.ru/" w:history="1">
        <w:r>
          <w:rPr>
            <w:rStyle w:val="706"/>
            <w:b/>
            <w:bCs/>
          </w:rPr>
          <w:t xml:space="preserve">www.rts-tender.ru</w:t>
        </w:r>
      </w:hyperlink>
      <w:r>
        <w:rPr>
          <w:b/>
          <w:bCs/>
        </w:rPr>
        <w:t xml:space="preserve">., </w:t>
      </w:r>
      <w:r>
        <w:rPr>
          <w:b/>
          <w:bCs/>
        </w:rPr>
        <w:t xml:space="preserve">3</w:t>
      </w:r>
      <w:r>
        <w:rPr>
          <w:b/>
          <w:bCs/>
        </w:rPr>
        <w:t xml:space="preserve"> </w:t>
      </w:r>
      <w:r>
        <w:rPr>
          <w:b/>
          <w:bCs/>
        </w:rPr>
        <w:t xml:space="preserve">дека</w:t>
      </w:r>
      <w:r>
        <w:rPr>
          <w:b/>
          <w:bCs/>
        </w:rPr>
        <w:t xml:space="preserve">бря 2025 года в 10.00 часов </w:t>
      </w:r>
      <w:r>
        <w:rPr>
          <w:b/>
          <w:bCs/>
          <w:lang w:eastAsia="en-US"/>
        </w:rPr>
        <w:t xml:space="preserve">на электронной площадке </w:t>
      </w:r>
      <w:hyperlink r:id="rId18" w:tooltip="http://www.rts-tender.ru/" w:history="1">
        <w:r>
          <w:rPr>
            <w:rStyle w:val="706"/>
            <w:b/>
            <w:bCs/>
            <w:lang w:eastAsia="en-US"/>
          </w:rPr>
          <w:t xml:space="preserve">www.rts-tender.ru</w:t>
        </w:r>
      </w:hyperlink>
      <w:r>
        <w:rPr>
          <w:b/>
          <w:bCs/>
          <w:lang w:eastAsia="en-US"/>
        </w:rPr>
        <w:t xml:space="preserve">. </w:t>
      </w:r>
      <w:r>
        <w:rPr>
          <w:b/>
          <w:bCs/>
        </w:rPr>
      </w:r>
      <w:r>
        <w:rPr>
          <w:b/>
          <w:bCs/>
        </w:rPr>
      </w:r>
    </w:p>
    <w:p>
      <w:pPr>
        <w:pStyle w:val="656"/>
        <w:jc w:val="both"/>
        <w:rPr>
          <w:b/>
        </w:rPr>
      </w:pPr>
      <w:r>
        <w:rPr>
          <w:b/>
          <w:bCs/>
        </w:rPr>
        <w:t xml:space="preserve">10.Критерий определения победителя аукциона:</w:t>
      </w:r>
      <w:r>
        <w:t xml:space="preserve"> наибольшая цена за земельный участок за земельный участок.</w:t>
      </w:r>
      <w:r>
        <w:rPr>
          <w:b/>
        </w:rPr>
      </w:r>
      <w:r>
        <w:rPr>
          <w:b/>
        </w:rPr>
      </w:r>
    </w:p>
    <w:p>
      <w:pPr>
        <w:pStyle w:val="656"/>
        <w:jc w:val="both"/>
        <w:rPr>
          <w:b/>
        </w:rPr>
      </w:pPr>
      <w:r>
        <w:rPr>
          <w:b/>
        </w:rPr>
        <w:t xml:space="preserve">11. Порядок заключения договора: </w:t>
      </w:r>
      <w:r>
        <w:rPr>
          <w:bCs/>
        </w:rPr>
        <w:t xml:space="preserve">По результатам проведения электронного аукциона не допускается заключ</w:t>
      </w:r>
      <w:r>
        <w:rPr>
          <w:bCs/>
        </w:rPr>
        <w:t xml:space="preserve">ение договора,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b/>
        </w:rPr>
      </w:r>
      <w:r>
        <w:rPr>
          <w:b/>
        </w:rPr>
      </w:r>
    </w:p>
    <w:p>
      <w:pPr>
        <w:pStyle w:val="656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b/>
        </w:rPr>
        <w:t xml:space="preserve">12. Существенные условия договора купли-продажи: </w:t>
      </w: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Арендатор вносит оставшуюся сумму платежа за вычетом суммы задатка в течение 10 рабочих дней со дня подписания протокола о результатах электронного аукциона.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</w:p>
    <w:p>
      <w:pPr>
        <w:pStyle w:val="656"/>
        <w:jc w:val="both"/>
        <w:rPr>
          <w:b/>
        </w:rPr>
      </w:pPr>
      <w:r>
        <w:rPr>
          <w:b/>
          <w:bCs/>
        </w:rPr>
        <w:t xml:space="preserve">13. Организатор аукциона вправе отказаться от проведения аукциона </w:t>
      </w:r>
      <w:r>
        <w:t xml:space="preserve">в случае выявления обстоятельств, предусмотренных пунктом 8 статьи 39.11 Земельного кодекса Российской Федерации. Извещение об отказе от проведения аукциона размещается на официальном сайте торгов в теч</w:t>
      </w:r>
      <w:r>
        <w:t xml:space="preserve">ение трех дней со дня принятия данного решения. В течение трех дней с даты принятия решения об отказе в проведении аукциона организатор аукциона обязан известить участников аукциона об отказе в проведении аукциона с возвратом Оператором внесенных задатков.</w:t>
      </w:r>
      <w:r>
        <w:rPr>
          <w:b/>
        </w:rPr>
      </w:r>
      <w:r>
        <w:rPr>
          <w:b/>
        </w:rPr>
      </w:r>
    </w:p>
    <w:p>
      <w:pPr>
        <w:pStyle w:val="747"/>
        <w:ind w:left="0" w:right="0" w:firstLine="0"/>
        <w:jc w:val="both"/>
        <w:spacing w:line="100" w:lineRule="atLeast"/>
        <w:rPr>
          <w:b/>
          <w:sz w:val="26"/>
          <w:szCs w:val="26"/>
        </w:rPr>
      </w:pPr>
      <w:r>
        <w:rPr>
          <w:b/>
        </w:rPr>
        <w:t xml:space="preserve">14.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Порядок осмотра земельного участка на местности:</w:t>
      </w:r>
      <w:r>
        <w:rPr>
          <w:color w:val="000000"/>
        </w:rPr>
        <w:t xml:space="preserve"> </w:t>
      </w:r>
      <w:r>
        <w:t xml:space="preserve">Осмотр земельного участка проводится участниками самостоятельно. Земельный участок находится в открытом доступе.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sectPr>
      <w:footnotePr/>
      <w:endnotePr/>
      <w:type w:val="nextPage"/>
      <w:pgSz w:w="16838" w:h="11906" w:orient="landscape"/>
      <w:pgMar w:top="825" w:right="713" w:bottom="596" w:left="825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CJK SC">
    <w:panose1 w:val="020B0500000000000000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  <w:font w:name="Noto Serif CJK SC">
    <w:panose1 w:val="02020400000000000000"/>
  </w:font>
  <w:font w:name="FreeSans">
    <w:panose1 w:val="020B05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5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FreeSans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57">
    <w:name w:val="Heading 1"/>
    <w:basedOn w:val="656"/>
    <w:next w:val="656"/>
    <w:qFormat/>
    <w:pPr>
      <w:numPr>
        <w:ilvl w:val="0"/>
        <w:numId w:val="1"/>
      </w:numPr>
      <w:ind w:left="0" w:right="43" w:firstLine="0"/>
      <w:jc w:val="right"/>
      <w:keepNext/>
      <w:outlineLvl w:val="0"/>
    </w:pPr>
    <w:rPr>
      <w:szCs w:val="20"/>
    </w:rPr>
  </w:style>
  <w:style w:type="paragraph" w:styleId="658">
    <w:name w:val="Heading 2"/>
    <w:basedOn w:val="656"/>
    <w:next w:val="656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659">
    <w:name w:val="Heading 3"/>
    <w:basedOn w:val="656"/>
    <w:next w:val="65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660">
    <w:name w:val="Heading 4"/>
    <w:basedOn w:val="656"/>
    <w:next w:val="65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7">
    <w:name w:val="Heading 2 Char"/>
    <w:uiPriority w:val="9"/>
    <w:qFormat/>
    <w:rPr>
      <w:rFonts w:ascii="Arial" w:hAnsi="Arial" w:eastAsia="Arial" w:cs="Arial"/>
      <w:sz w:val="34"/>
    </w:rPr>
  </w:style>
  <w:style w:type="character" w:styleId="668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9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uiPriority w:val="10"/>
    <w:qFormat/>
    <w:rPr>
      <w:sz w:val="48"/>
      <w:szCs w:val="48"/>
    </w:rPr>
  </w:style>
  <w:style w:type="character" w:styleId="676">
    <w:name w:val="Subtitle Char"/>
    <w:uiPriority w:val="11"/>
    <w:qFormat/>
    <w:rPr>
      <w:sz w:val="24"/>
      <w:szCs w:val="24"/>
    </w:rPr>
  </w:style>
  <w:style w:type="character" w:styleId="677">
    <w:name w:val="Quote Char"/>
    <w:link w:val="719"/>
    <w:uiPriority w:val="29"/>
    <w:qFormat/>
    <w:rPr>
      <w:i/>
    </w:rPr>
  </w:style>
  <w:style w:type="character" w:styleId="678">
    <w:name w:val="Intense Quote Char"/>
    <w:link w:val="720"/>
    <w:uiPriority w:val="30"/>
    <w:qFormat/>
    <w:rPr>
      <w:i/>
    </w:rPr>
  </w:style>
  <w:style w:type="character" w:styleId="679">
    <w:name w:val="Header Char"/>
    <w:uiPriority w:val="99"/>
    <w:qFormat/>
  </w:style>
  <w:style w:type="character" w:styleId="680">
    <w:name w:val="Footer Char"/>
    <w:uiPriority w:val="99"/>
    <w:qFormat/>
  </w:style>
  <w:style w:type="character" w:styleId="681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2">
    <w:name w:val="Footnote Text Char"/>
    <w:uiPriority w:val="99"/>
    <w:qFormat/>
    <w:rPr>
      <w:sz w:val="18"/>
    </w:rPr>
  </w:style>
  <w:style w:type="character" w:styleId="683">
    <w:name w:val="Символ сноски"/>
    <w:uiPriority w:val="99"/>
    <w:unhideWhenUsed/>
    <w:qFormat/>
    <w:rPr>
      <w:vertAlign w:val="superscript"/>
    </w:rPr>
  </w:style>
  <w:style w:type="character" w:styleId="684">
    <w:name w:val="footnote reference"/>
    <w:rPr>
      <w:vertAlign w:val="superscript"/>
    </w:rPr>
  </w:style>
  <w:style w:type="character" w:styleId="685">
    <w:name w:val="Endnote Text Char"/>
    <w:uiPriority w:val="99"/>
    <w:qFormat/>
    <w:rPr>
      <w:sz w:val="20"/>
    </w:rPr>
  </w:style>
  <w:style w:type="character" w:styleId="68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7">
    <w:name w:val="endnote reference"/>
    <w:rPr>
      <w:vertAlign w:val="superscript"/>
    </w:rPr>
  </w:style>
  <w:style w:type="character" w:styleId="688">
    <w:name w:val="WW8Num1z0"/>
    <w:qFormat/>
    <w:rPr>
      <w:rFonts w:eastAsia="Times New Roman"/>
      <w:b/>
    </w:rPr>
  </w:style>
  <w:style w:type="character" w:styleId="689">
    <w:name w:val="WW8Num2z0"/>
    <w:qFormat/>
  </w:style>
  <w:style w:type="character" w:styleId="690">
    <w:name w:val="WW8Num3z0"/>
    <w:qFormat/>
    <w:rPr>
      <w:b/>
    </w:rPr>
  </w:style>
  <w:style w:type="character" w:styleId="691">
    <w:name w:val="WW8Num4z0"/>
    <w:qFormat/>
  </w:style>
  <w:style w:type="character" w:styleId="692">
    <w:name w:val="Основной шрифт абзаца"/>
    <w:qFormat/>
  </w:style>
  <w:style w:type="character" w:styleId="693">
    <w:name w:val="Основной текст Знак"/>
    <w:qFormat/>
    <w:rPr>
      <w:sz w:val="24"/>
    </w:rPr>
  </w:style>
  <w:style w:type="character" w:styleId="694">
    <w:name w:val="Основной текст с отступом Знак"/>
    <w:qFormat/>
    <w:rPr>
      <w:sz w:val="24"/>
      <w:szCs w:val="24"/>
    </w:rPr>
  </w:style>
  <w:style w:type="character" w:styleId="695">
    <w:name w:val="Основной текст с отступом 3 Знак"/>
    <w:qFormat/>
    <w:rPr>
      <w:sz w:val="24"/>
      <w:szCs w:val="24"/>
    </w:rPr>
  </w:style>
  <w:style w:type="character" w:styleId="696">
    <w:name w:val="Верхний колонтитул Знак"/>
    <w:qFormat/>
    <w:rPr>
      <w:sz w:val="24"/>
      <w:szCs w:val="24"/>
    </w:rPr>
  </w:style>
  <w:style w:type="character" w:styleId="697">
    <w:name w:val="Нижний колонтитул Знак"/>
    <w:qFormat/>
    <w:rPr>
      <w:sz w:val="24"/>
      <w:szCs w:val="24"/>
    </w:rPr>
  </w:style>
  <w:style w:type="character" w:styleId="698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99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700">
    <w:name w:val="Заголовок 1 Знак"/>
    <w:qFormat/>
    <w:rPr>
      <w:sz w:val="24"/>
    </w:rPr>
  </w:style>
  <w:style w:type="character" w:styleId="701">
    <w:name w:val="Основной текст с отступом 2 Знак"/>
    <w:qFormat/>
    <w:rPr>
      <w:sz w:val="24"/>
      <w:szCs w:val="24"/>
    </w:rPr>
  </w:style>
  <w:style w:type="character" w:styleId="702">
    <w:name w:val="Знак Знак3"/>
    <w:qFormat/>
    <w:rPr>
      <w:sz w:val="24"/>
      <w:lang w:val="ru-RU" w:bidi="ar-SA"/>
    </w:rPr>
  </w:style>
  <w:style w:type="character" w:styleId="703">
    <w:name w:val="Знак Знак2"/>
    <w:qFormat/>
    <w:rPr>
      <w:sz w:val="24"/>
      <w:szCs w:val="24"/>
      <w:lang w:val="ru-RU" w:bidi="ar-SA"/>
    </w:rPr>
  </w:style>
  <w:style w:type="character" w:styleId="704">
    <w:name w:val="Знак Знак"/>
    <w:qFormat/>
    <w:rPr>
      <w:sz w:val="24"/>
      <w:szCs w:val="24"/>
      <w:lang w:val="ru-RU" w:bidi="ar-SA"/>
    </w:rPr>
  </w:style>
  <w:style w:type="character" w:styleId="705">
    <w:name w:val="Текст выноски Знак"/>
    <w:qFormat/>
    <w:rPr>
      <w:rFonts w:ascii="Tahoma" w:hAnsi="Tahoma" w:cs="Tahoma"/>
      <w:sz w:val="16"/>
      <w:szCs w:val="16"/>
    </w:rPr>
  </w:style>
  <w:style w:type="character" w:styleId="706">
    <w:name w:val="Hyperlink"/>
    <w:rPr>
      <w:color w:val="0000ff"/>
      <w:u w:val="single"/>
    </w:rPr>
  </w:style>
  <w:style w:type="character" w:styleId="707">
    <w:name w:val="FollowedHyperlink"/>
    <w:rPr>
      <w:color w:val="800080"/>
      <w:u w:val="single"/>
    </w:rPr>
  </w:style>
  <w:style w:type="character" w:styleId="708">
    <w:name w:val="rts-text"/>
    <w:qFormat/>
  </w:style>
  <w:style w:type="character" w:styleId="709" w:default="1">
    <w:name w:val="Default Paragraph Font"/>
    <w:uiPriority w:val="1"/>
    <w:semiHidden/>
    <w:unhideWhenUsed/>
    <w:qFormat/>
  </w:style>
  <w:style w:type="paragraph" w:styleId="710">
    <w:name w:val="Заголовок"/>
    <w:basedOn w:val="656"/>
    <w:next w:val="711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11">
    <w:name w:val="Body Text"/>
    <w:basedOn w:val="656"/>
    <w:pPr>
      <w:ind w:left="0" w:right="283" w:firstLine="0"/>
      <w:jc w:val="both"/>
    </w:pPr>
    <w:rPr>
      <w:szCs w:val="20"/>
    </w:rPr>
  </w:style>
  <w:style w:type="paragraph" w:styleId="712">
    <w:name w:val="List"/>
    <w:basedOn w:val="711"/>
    <w:rPr>
      <w:rFonts w:ascii="PT Astra Serif" w:hAnsi="PT Astra Serif" w:cs="FreeSans"/>
    </w:rPr>
  </w:style>
  <w:style w:type="paragraph" w:styleId="713">
    <w:name w:val="Caption"/>
    <w:basedOn w:val="656"/>
    <w:link w:val="681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14">
    <w:name w:val="Указатель"/>
    <w:basedOn w:val="656"/>
    <w:qFormat/>
    <w:pPr>
      <w:suppressLineNumbers/>
    </w:pPr>
    <w:rPr>
      <w:rFonts w:ascii="PT Astra Serif" w:hAnsi="PT Astra Serif" w:cs="FreeSans"/>
    </w:rPr>
  </w:style>
  <w:style w:type="paragraph" w:styleId="715">
    <w:name w:val="List Paragraph"/>
    <w:basedOn w:val="656"/>
    <w:uiPriority w:val="34"/>
    <w:qFormat/>
    <w:pPr>
      <w:contextualSpacing/>
      <w:ind w:left="720"/>
      <w:spacing w:before="0" w:after="0"/>
    </w:pPr>
  </w:style>
  <w:style w:type="paragraph" w:styleId="71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hi-IN"/>
    </w:rPr>
  </w:style>
  <w:style w:type="paragraph" w:styleId="717">
    <w:name w:val="Title"/>
    <w:basedOn w:val="656"/>
    <w:next w:val="656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8">
    <w:name w:val="Subtitle"/>
    <w:basedOn w:val="656"/>
    <w:next w:val="656"/>
    <w:link w:val="676"/>
    <w:uiPriority w:val="11"/>
    <w:qFormat/>
    <w:pPr>
      <w:spacing w:before="200" w:after="200"/>
    </w:pPr>
    <w:rPr>
      <w:sz w:val="24"/>
      <w:szCs w:val="24"/>
    </w:rPr>
  </w:style>
  <w:style w:type="paragraph" w:styleId="719">
    <w:name w:val="Quote"/>
    <w:basedOn w:val="656"/>
    <w:next w:val="656"/>
    <w:link w:val="677"/>
    <w:uiPriority w:val="29"/>
    <w:qFormat/>
    <w:pPr>
      <w:ind w:left="720" w:right="720"/>
    </w:pPr>
    <w:rPr>
      <w:i/>
    </w:rPr>
  </w:style>
  <w:style w:type="paragraph" w:styleId="720">
    <w:name w:val="Intense Quote"/>
    <w:basedOn w:val="656"/>
    <w:next w:val="656"/>
    <w:link w:val="67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1">
    <w:name w:val="footnote text"/>
    <w:basedOn w:val="656"/>
    <w:link w:val="68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2">
    <w:name w:val="endnote text"/>
    <w:basedOn w:val="656"/>
    <w:link w:val="68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3">
    <w:name w:val="toc 1"/>
    <w:basedOn w:val="656"/>
    <w:next w:val="656"/>
    <w:uiPriority w:val="39"/>
    <w:unhideWhenUsed/>
    <w:pPr>
      <w:ind w:left="0" w:right="0" w:firstLine="0"/>
      <w:spacing w:before="0" w:after="57"/>
    </w:pPr>
  </w:style>
  <w:style w:type="paragraph" w:styleId="724">
    <w:name w:val="toc 2"/>
    <w:basedOn w:val="656"/>
    <w:next w:val="656"/>
    <w:uiPriority w:val="39"/>
    <w:unhideWhenUsed/>
    <w:pPr>
      <w:ind w:left="283" w:right="0" w:firstLine="0"/>
      <w:spacing w:before="0" w:after="57"/>
    </w:pPr>
  </w:style>
  <w:style w:type="paragraph" w:styleId="725">
    <w:name w:val="toc 3"/>
    <w:basedOn w:val="656"/>
    <w:next w:val="656"/>
    <w:uiPriority w:val="39"/>
    <w:unhideWhenUsed/>
    <w:pPr>
      <w:ind w:left="567" w:right="0" w:firstLine="0"/>
      <w:spacing w:before="0" w:after="57"/>
    </w:pPr>
  </w:style>
  <w:style w:type="paragraph" w:styleId="726">
    <w:name w:val="toc 4"/>
    <w:basedOn w:val="656"/>
    <w:next w:val="656"/>
    <w:uiPriority w:val="39"/>
    <w:unhideWhenUsed/>
    <w:pPr>
      <w:ind w:left="850" w:right="0" w:firstLine="0"/>
      <w:spacing w:before="0" w:after="57"/>
    </w:pPr>
  </w:style>
  <w:style w:type="paragraph" w:styleId="727">
    <w:name w:val="toc 5"/>
    <w:basedOn w:val="656"/>
    <w:next w:val="656"/>
    <w:uiPriority w:val="39"/>
    <w:unhideWhenUsed/>
    <w:pPr>
      <w:ind w:left="1134" w:right="0" w:firstLine="0"/>
      <w:spacing w:before="0" w:after="57"/>
    </w:pPr>
  </w:style>
  <w:style w:type="paragraph" w:styleId="728">
    <w:name w:val="toc 6"/>
    <w:basedOn w:val="656"/>
    <w:next w:val="656"/>
    <w:uiPriority w:val="39"/>
    <w:unhideWhenUsed/>
    <w:pPr>
      <w:ind w:left="1417" w:right="0" w:firstLine="0"/>
      <w:spacing w:before="0" w:after="57"/>
    </w:pPr>
  </w:style>
  <w:style w:type="paragraph" w:styleId="729">
    <w:name w:val="toc 7"/>
    <w:basedOn w:val="656"/>
    <w:next w:val="656"/>
    <w:uiPriority w:val="39"/>
    <w:unhideWhenUsed/>
    <w:pPr>
      <w:ind w:left="1701" w:right="0" w:firstLine="0"/>
      <w:spacing w:before="0" w:after="57"/>
    </w:pPr>
  </w:style>
  <w:style w:type="paragraph" w:styleId="730">
    <w:name w:val="toc 8"/>
    <w:basedOn w:val="656"/>
    <w:next w:val="656"/>
    <w:uiPriority w:val="39"/>
    <w:unhideWhenUsed/>
    <w:pPr>
      <w:ind w:left="1984" w:right="0" w:firstLine="0"/>
      <w:spacing w:before="0" w:after="57"/>
    </w:pPr>
  </w:style>
  <w:style w:type="paragraph" w:styleId="731">
    <w:name w:val="toc 9"/>
    <w:basedOn w:val="656"/>
    <w:next w:val="656"/>
    <w:uiPriority w:val="39"/>
    <w:unhideWhenUsed/>
    <w:pPr>
      <w:ind w:left="2268" w:right="0" w:firstLine="0"/>
      <w:spacing w:before="0" w:after="57"/>
    </w:pPr>
  </w:style>
  <w:style w:type="paragraph" w:styleId="732">
    <w:name w:val="Index Heading"/>
    <w:basedOn w:val="710"/>
  </w:style>
  <w:style w:type="paragraph" w:styleId="73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hi-IN"/>
    </w:rPr>
  </w:style>
  <w:style w:type="paragraph" w:styleId="734">
    <w:name w:val="table of figures"/>
    <w:basedOn w:val="656"/>
    <w:next w:val="656"/>
    <w:uiPriority w:val="99"/>
    <w:unhideWhenUsed/>
    <w:pPr>
      <w:spacing w:before="0" w:after="0" w:afterAutospacing="0"/>
    </w:pPr>
  </w:style>
  <w:style w:type="paragraph" w:styleId="735">
    <w:name w:val="Caption1"/>
    <w:basedOn w:val="656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36">
    <w:name w:val="Caption11"/>
    <w:basedOn w:val="656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37">
    <w:name w:val="Caption111"/>
    <w:basedOn w:val="656"/>
    <w:qFormat/>
    <w:pPr>
      <w:spacing w:before="120" w:after="120"/>
      <w:suppressLineNumbers/>
    </w:pPr>
    <w:rPr>
      <w:rFonts w:ascii="PT Astra Serif" w:hAnsi="PT Astra Serif" w:cs="FreeSans"/>
      <w:i/>
      <w:iCs/>
      <w:sz w:val="24"/>
      <w:szCs w:val="24"/>
    </w:rPr>
  </w:style>
  <w:style w:type="paragraph" w:styleId="738">
    <w:name w:val="Body Text Indent"/>
    <w:basedOn w:val="656"/>
    <w:pPr>
      <w:ind w:left="0" w:right="-426" w:firstLine="900"/>
      <w:jc w:val="both"/>
    </w:pPr>
  </w:style>
  <w:style w:type="paragraph" w:styleId="739">
    <w:name w:val="Основной текст с отступом 2"/>
    <w:basedOn w:val="656"/>
    <w:qFormat/>
    <w:pPr>
      <w:ind w:left="0" w:right="43" w:firstLine="1134"/>
      <w:jc w:val="both"/>
    </w:pPr>
  </w:style>
  <w:style w:type="paragraph" w:styleId="740">
    <w:name w:val="Основной текст с отступом 3"/>
    <w:basedOn w:val="656"/>
    <w:qFormat/>
    <w:pPr>
      <w:ind w:left="0" w:right="-360" w:firstLine="720"/>
      <w:jc w:val="both"/>
    </w:pPr>
  </w:style>
  <w:style w:type="paragraph" w:styleId="741">
    <w:name w:val="Колонтитул"/>
    <w:basedOn w:val="65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2">
    <w:name w:val="Header"/>
    <w:basedOn w:val="65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3">
    <w:name w:val="Footer"/>
    <w:basedOn w:val="65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4">
    <w:name w:val="Текст выноски"/>
    <w:basedOn w:val="656"/>
    <w:qFormat/>
    <w:rPr>
      <w:rFonts w:ascii="Tahoma" w:hAnsi="Tahoma" w:cs="Tahoma"/>
      <w:sz w:val="16"/>
      <w:szCs w:val="16"/>
    </w:rPr>
  </w:style>
  <w:style w:type="paragraph" w:styleId="745">
    <w:name w:val="Default"/>
    <w:qFormat/>
    <w:pPr>
      <w:jc w:val="left"/>
      <w:spacing w:before="0" w:after="0"/>
      <w:widowControl/>
    </w:pPr>
    <w:rPr>
      <w:rFonts w:ascii="Calibri" w:hAnsi="Calibri" w:eastAsia="Calibri" w:cs="Calibri"/>
      <w:color w:val="000000"/>
      <w:sz w:val="24"/>
      <w:szCs w:val="24"/>
      <w:lang w:val="ru-RU" w:eastAsia="zh-CN" w:bidi="ar-SA"/>
    </w:rPr>
  </w:style>
  <w:style w:type="paragraph" w:styleId="746">
    <w:name w:val="Обычный (веб)"/>
    <w:basedOn w:val="656"/>
    <w:qFormat/>
    <w:pPr>
      <w:spacing w:before="280" w:after="280"/>
    </w:pPr>
  </w:style>
  <w:style w:type="paragraph" w:styleId="747">
    <w:name w:val="Абзац списка"/>
    <w:basedOn w:val="656"/>
    <w:qFormat/>
    <w:pPr>
      <w:contextualSpacing/>
      <w:ind w:left="720" w:right="0" w:firstLine="0"/>
      <w:spacing w:before="0" w:after="0"/>
    </w:pPr>
  </w:style>
  <w:style w:type="paragraph" w:styleId="748">
    <w:name w:val="Содержимое врезки"/>
    <w:basedOn w:val="656"/>
    <w:qFormat/>
  </w:style>
  <w:style w:type="paragraph" w:styleId="749">
    <w:name w:val="Содержимое таблицы"/>
    <w:basedOn w:val="656"/>
    <w:qFormat/>
    <w:pPr>
      <w:widowControl w:val="off"/>
      <w:suppressLineNumbers/>
    </w:pPr>
  </w:style>
  <w:style w:type="paragraph" w:styleId="750">
    <w:name w:val="Заголовок таблицы"/>
    <w:basedOn w:val="749"/>
    <w:qFormat/>
    <w:pPr>
      <w:jc w:val="center"/>
      <w:suppressLineNumbers/>
    </w:pPr>
    <w:rPr>
      <w:b/>
      <w:bCs/>
    </w:rPr>
  </w:style>
  <w:style w:type="numbering" w:styleId="751" w:default="1">
    <w:name w:val="No List"/>
    <w:uiPriority w:val="99"/>
    <w:semiHidden/>
    <w:unhideWhenUsed/>
    <w:qFormat/>
  </w:style>
  <w:style w:type="table" w:styleId="752">
    <w:name w:val="Table Grid"/>
    <w:basedOn w:val="8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5">
    <w:name w:val="Plain Table 2"/>
    <w:basedOn w:val="8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8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8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8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9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9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9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9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9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4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7">
    <w:name w:val="Lined - Accent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8">
    <w:name w:val="Lined - Accent 1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59">
    <w:name w:val="Lined - Accent 2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60">
    <w:name w:val="Lined - Accent 3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61">
    <w:name w:val="Lined - Accent 4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2">
    <w:name w:val="Lined - Accent 5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63">
    <w:name w:val="Lined - Accent 6"/>
    <w:basedOn w:val="8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64">
    <w:name w:val="Bordered &amp; Lined - Accent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>
    <w:name w:val="Bordered &amp; Lined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66">
    <w:name w:val="Bordered &amp; Lined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67">
    <w:name w:val="Bordered &amp; Lined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68">
    <w:name w:val="Bordered &amp; Lined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>
    <w:name w:val="Bordered &amp; Lined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>
    <w:name w:val="Bordered &amp; Lined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7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/" TargetMode="External"/><Relationship Id="rId10" Type="http://schemas.openxmlformats.org/officeDocument/2006/relationships/hyperlink" Target="https://shebekinskoe-r31.gosweb.gosuslugi.ru/" TargetMode="External"/><Relationship Id="rId11" Type="http://schemas.openxmlformats.org/officeDocument/2006/relationships/hyperlink" Target="mailto:zemlya112@mail.ru" TargetMode="External"/><Relationship Id="rId12" Type="http://schemas.openxmlformats.org/officeDocument/2006/relationships/hyperlink" Target="http://www.rts-tender.ru/" TargetMode="External"/><Relationship Id="rId13" Type="http://schemas.openxmlformats.org/officeDocument/2006/relationships/hyperlink" Target="http://www.rts-tender.ru/" TargetMode="External"/><Relationship Id="rId14" Type="http://schemas.openxmlformats.org/officeDocument/2006/relationships/hyperlink" Target="https://login.consultant.ru/link/?req=doc&amp;base=LAW&amp;n=465174&amp;dst=100008" TargetMode="External"/><Relationship Id="rId15" Type="http://schemas.openxmlformats.org/officeDocument/2006/relationships/hyperlink" Target="https://www.rts-tender.ru/" TargetMode="External"/><Relationship Id="rId16" Type="http://schemas.openxmlformats.org/officeDocument/2006/relationships/hyperlink" Target="http://help.rts-tender.ru/" TargetMode="External"/><Relationship Id="rId17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</dc:title>
  <dc:subject/>
  <dc:creator>Kums</dc:creator>
  <dc:description/>
  <dc:language>ru-RU</dc:language>
  <cp:lastModifiedBy>kameneva</cp:lastModifiedBy>
  <cp:revision>27</cp:revision>
  <dcterms:created xsi:type="dcterms:W3CDTF">2025-07-09T14:58:00Z</dcterms:created>
  <dcterms:modified xsi:type="dcterms:W3CDTF">2025-11-17T11:59:57Z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